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4.png" ContentType="image/png"/>
  <Override PartName="/word/media/rId43.png" ContentType="image/png"/>
  <Override PartName="/word/media/rId33.png" ContentType="image/png"/>
  <Override PartName="/word/media/rId39.png" ContentType="image/png"/>
  <Override PartName="/word/media/rId83.png" ContentType="image/png"/>
  <Override PartName="/word/media/rId156.png" ContentType="image/png"/>
  <Override PartName="/word/media/rId77.png" ContentType="image/png"/>
  <Override PartName="/word/media/rId72.png" ContentType="image/png"/>
  <Override PartName="/word/media/rId74.png" ContentType="image/png"/>
  <Override PartName="/word/media/rId145.png" ContentType="image/png"/>
  <Override PartName="/word/media/rId144.png" ContentType="image/png"/>
  <Override PartName="/word/media/rId75.png" ContentType="image/png"/>
  <Override PartName="/word/media/rId71.png" ContentType="image/png"/>
  <Override PartName="/word/media/rId89.png" ContentType="image/png"/>
  <Override PartName="/word/media/rId94.png" ContentType="image/png"/>
  <Override PartName="/word/media/rId95.png" ContentType="image/png"/>
  <Override PartName="/word/media/rId96.png" ContentType="image/png"/>
  <Override PartName="/word/media/rId97.png" ContentType="image/png"/>
  <Override PartName="/word/media/rId104.png" ContentType="image/png"/>
  <Override PartName="/word/media/rId105.png" ContentType="image/png"/>
  <Override PartName="/word/media/rId106.png" ContentType="image/png"/>
  <Override PartName="/word/media/rId107.png" ContentType="image/png"/>
  <Override PartName="/word/media/rId99.png" ContentType="image/png"/>
  <Override PartName="/word/media/rId100.png" ContentType="image/png"/>
  <Override PartName="/word/media/rId101.png" ContentType="image/png"/>
  <Override PartName="/word/media/rId102.png" ContentType="image/png"/>
  <Override PartName="/word/media/rId87.png" ContentType="image/png"/>
  <Override PartName="/word/media/rId92.png" ContentType="image/png"/>
  <Override PartName="/word/media/rId64.png" ContentType="image/png"/>
  <Override PartName="/word/media/rId65.png" ContentType="image/png"/>
  <Override PartName="/word/media/rId141.png" ContentType="image/png"/>
  <Override PartName="/word/media/rId140.png" ContentType="image/png"/>
  <Override PartName="/word/media/rId138.png" ContentType="image/png"/>
  <Override PartName="/word/media/rId137.png" ContentType="image/png"/>
  <Override PartName="/word/media/rId59.png" ContentType="image/png"/>
  <Override PartName="/word/media/rId57.png" ContentType="image/png"/>
  <Override PartName="/word/media/rId135.png" ContentType="image/png"/>
  <Override PartName="/word/media/rId151.png" ContentType="image/png"/>
  <Override PartName="/word/media/rId152.png" ContentType="image/png"/>
  <Override PartName="/word/media/rId129.png" ContentType="image/png"/>
  <Override PartName="/word/media/rId91.png" ContentType="image/png"/>
  <Override PartName="/word/media/rId133.png" ContentType="image/png"/>
  <Override PartName="/word/media/rId132.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RSD</w:t>
            </w:r>
          </w:p>
        </w:tc>
        <w:tc>
          <w:p>
            <w:pPr>
              <w:pStyle w:val="Compact"/>
              <w:jc w:val="left"/>
            </w:pPr>
            <w:r>
              <w:t xml:space="preserve">Relative standard deviation (a.k.a coefficient of variance)</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financial and tangible support from Vancouver Island University, the University of British Columbia, the NSERC Canadian Graduate Scholarship Masters Award, and the NSERC forWater Network for Source Water Protection Strategies – thank you for supporting me as a master’s student.</w:t>
      </w:r>
    </w:p>
    <w:p>
      <w:pPr>
        <w:pStyle w:val="BodyText"/>
      </w:pPr>
      <w:r>
        <w:t xml:space="preserve"> </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wavelenghts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(S275-295) or 350-400 nm (S350-400))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 (Peuravuori and Pihlaja 1997; Helms et al. 2008).</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w:t>
      </w:r>
      <w:r>
        <w:rPr>
          <w:i/>
          <w:b/>
        </w:rPr>
        <w:t xml:space="preserve">commercial sustained harvest</w:t>
      </w:r>
      <w:r>
        <w:t xml:space="preserve">)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and DOC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2</w:t>
      </w:r>
      <w:r>
        <w:t xml:space="preserve">). The predominant geological formation across the GVWSA was metamorphic parent material (Wark Gneiss). The Wark formation was common to all twelve sampling sub-basins except for West-Leech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slope of 61</w:t>
      </w:r>
      <m:oMath>
        <m:sSup>
          <m:e>
            <m:r>
              <m:t>​</m:t>
            </m:r>
          </m:e>
          <m:sup>
            <m:r>
              <m:t>∘</m:t>
            </m:r>
          </m:sup>
        </m:sSup>
      </m:oMath>
      <w:r>
        <w:t xml:space="preserve"> </w:t>
      </w:r>
      <w:r>
        <w:t xml:space="preserve">in the Leech Tunnel basin.</w:t>
      </w:r>
    </w:p>
    <w:p>
      <w:pPr>
        <w:pStyle w:val="BodyText"/>
      </w:pPr>
      <w:r>
        <w:t xml:space="preserve"> </w:t>
      </w:r>
    </w:p>
    <w:p>
      <w:pPr>
        <w:pStyle w:val="TableCaption"/>
      </w:pPr>
      <w:r>
        <w:t xml:space="preserve">Table 2: Watershed Characteristics of Twelve Synoptic Sampling Sites Across the Leech and Sooke Water Supply Areas (WSA), Greater Victoria, BC</w:t>
      </w:r>
    </w:p>
    <w:tbl>
      <w:tblPr>
        <w:tblStyle w:val="Table"/>
        <w:tblW w:type="pct" w:w="4999.999999999999"/>
        <w:tblLook w:firstRow="1"/>
        <w:tblCaption w:val="Table 2: Watershed Characteristics of Twelve Synoptic Sampling Sites Across the Leech and Sooke Water Supply Areas (WSA), Greater Victoria, BC"/>
      </w:tblPr>
      <w:tblGrid>
        <w:gridCol w:w="694"/>
        <w:gridCol w:w="456"/>
        <w:gridCol w:w="456"/>
        <w:gridCol w:w="436"/>
        <w:gridCol w:w="555"/>
        <w:gridCol w:w="555"/>
        <w:gridCol w:w="655"/>
        <w:gridCol w:w="813"/>
        <w:gridCol w:w="734"/>
        <w:gridCol w:w="516"/>
        <w:gridCol w:w="456"/>
        <w:gridCol w:w="456"/>
        <w:gridCol w:w="1131"/>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Weeks-crk</w:t>
            </w:r>
          </w:p>
        </w:tc>
        <w:tc>
          <w:tcPr>
            <w:tcBorders>
              <w:bottom w:val="single"/>
            </w:tcBorders>
            <w:vAlign w:val="bottom"/>
          </w:tcPr>
          <w:p>
            <w:pPr>
              <w:pStyle w:val="Compact"/>
              <w:jc w:val="left"/>
            </w:pPr>
            <w:r>
              <w:t xml:space="preserve">Chris-crk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West-Leech</w:t>
            </w:r>
          </w:p>
        </w:tc>
        <w:tc>
          <w:tcPr>
            <w:tcBorders>
              <w:bottom w:val="single"/>
            </w:tcBorders>
            <w:vAlign w:val="bottom"/>
          </w:tcPr>
          <w:p>
            <w:pPr>
              <w:pStyle w:val="Compact"/>
              <w:jc w:val="left"/>
            </w:pPr>
            <w:r>
              <w:t xml:space="preserve">Leech-Tunnel</w:t>
            </w:r>
          </w:p>
        </w:tc>
        <w:tc>
          <w:tcPr>
            <w:tcBorders>
              <w:bottom w:val="single"/>
            </w:tcBorders>
            <w:vAlign w:val="bottom"/>
          </w:tcPr>
          <w:p>
            <w:pPr>
              <w:pStyle w:val="Compact"/>
              <w:jc w:val="left"/>
            </w:pPr>
            <w:r>
              <w:t xml:space="preserve">Judge-crk</w:t>
            </w:r>
          </w:p>
        </w:tc>
        <w:tc>
          <w:tcPr>
            <w:tcBorders>
              <w:bottom w:val="single"/>
            </w:tcBorders>
            <w:vAlign w:val="bottom"/>
          </w:tcPr>
          <w:p>
            <w:pPr>
              <w:pStyle w:val="Compact"/>
              <w:jc w:val="left"/>
            </w:pPr>
            <w:r>
              <w:t xml:space="preserve">Rithet-crk</w:t>
            </w:r>
          </w:p>
        </w:tc>
        <w:tc>
          <w:tcPr>
            <w:tcBorders>
              <w:bottom w:val="single"/>
            </w:tcBorders>
            <w:vAlign w:val="bottom"/>
          </w:tcPr>
          <w:p>
            <w:pPr>
              <w:pStyle w:val="Compact"/>
              <w:jc w:val="left"/>
            </w:pPr>
            <w:r>
              <w:t xml:space="preserve">Deception-gulch</w:t>
            </w:r>
          </w:p>
        </w:tc>
        <w:tc>
          <w:tcPr>
            <w:tcBorders>
              <w:bottom w:val="single"/>
            </w:tcBorders>
            <w:vAlign w:val="bottom"/>
          </w:tcPr>
          <w:p>
            <w:pPr>
              <w:pStyle w:val="Compact"/>
              <w:jc w:val="left"/>
            </w:pPr>
            <w:r>
              <w:t xml:space="preserve">Jarvis-crk</w:t>
            </w:r>
          </w:p>
        </w:tc>
        <w:tc>
          <w:tcPr>
            <w:tcBorders>
              <w:bottom w:val="single"/>
            </w:tcBorders>
            <w:vAlign w:val="bottom"/>
          </w:tcPr>
          <w:p>
            <w:pPr>
              <w:pStyle w:val="Compact"/>
              <w:jc w:val="left"/>
            </w:pPr>
            <w:r>
              <w:t xml:space="preserve">Lazar-crk</w:t>
            </w:r>
          </w:p>
        </w:tc>
        <w:tc>
          <w:tcPr>
            <w:tcBorders>
              <w:bottom w:val="single"/>
            </w:tcBorders>
            <w:vAlign w:val="bottom"/>
          </w:tcPr>
          <w:p>
            <w:pPr>
              <w:pStyle w:val="Compact"/>
              <w:jc w:val="left"/>
            </w:pPr>
            <w:r>
              <w:t xml:space="preserve">Leech-beach</w:t>
            </w:r>
          </w:p>
        </w:tc>
      </w:tr>
      <w:tr>
        <w:tc>
          <w:p>
            <w:pPr>
              <w:pStyle w:val="Compact"/>
              <w:jc w:val="left"/>
            </w:pPr>
            <w:r>
              <w:t xml:space="preserve">Water supply area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Sooke WSA</w:t>
            </w:r>
          </w:p>
        </w:tc>
        <w:tc>
          <w:p>
            <w:pPr>
              <w:pStyle w:val="Compact"/>
              <w:jc w:val="left"/>
            </w:pPr>
            <w:r>
              <w:t xml:space="preserve">Sooke WSA</w:t>
            </w:r>
          </w:p>
        </w:tc>
        <w:tc>
          <w:p>
            <w:pPr>
              <w:pStyle w:val="Compact"/>
              <w:jc w:val="left"/>
            </w:pPr>
            <w:r>
              <w:t xml:space="preserve">Sooke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c>
          <w:p>
            <w:pPr>
              <w:pStyle w:val="Compact"/>
              <w:jc w:val="left"/>
            </w:pPr>
            <w:r>
              <w:t xml:space="preserve">-123.67354</w:t>
            </w:r>
          </w:p>
        </w:tc>
        <w:tc>
          <w:p>
            <w:pPr>
              <w:pStyle w:val="Compact"/>
              <w:jc w:val="left"/>
            </w:pPr>
            <w:r>
              <w:t xml:space="preserve">-123.72496</w:t>
            </w:r>
          </w:p>
        </w:tc>
        <w:tc>
          <w:p>
            <w:pPr>
              <w:pStyle w:val="Compact"/>
              <w:jc w:val="left"/>
            </w:pPr>
            <w:r>
              <w:t xml:space="preserve">-123.72041</w:t>
            </w:r>
          </w:p>
        </w:tc>
        <w:tc>
          <w:p>
            <w:pPr>
              <w:pStyle w:val="Compact"/>
              <w:jc w:val="left"/>
            </w:pPr>
            <w:r>
              <w:t xml:space="preserve">-123.79805</w:t>
            </w:r>
          </w:p>
        </w:tc>
        <w:tc>
          <w:p>
            <w:pPr>
              <w:pStyle w:val="Compact"/>
              <w:jc w:val="left"/>
            </w:pPr>
            <w:r>
              <w:t xml:space="preserve">-123.76997</w:t>
            </w:r>
          </w:p>
        </w:tc>
        <w:tc>
          <w:p>
            <w:pPr>
              <w:pStyle w:val="Compact"/>
              <w:jc w:val="left"/>
            </w:pPr>
            <w:r>
              <w:t xml:space="preserve">-123.78181</w:t>
            </w:r>
          </w:p>
        </w:tc>
      </w:tr>
      <w:tr>
        <w:tc>
          <w:p>
            <w:pPr>
              <w:pStyle w:val="Compact"/>
              <w:jc w:val="left"/>
            </w:pPr>
            <w:r>
              <w:t xml:space="preserve">Sampling site type</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r>
      <w:tr>
        <w:tc>
          <w:p>
            <w:pPr>
              <w:pStyle w:val="Compact"/>
              <w:jc w:val="left"/>
            </w:pPr>
            <w:r>
              <w:t xml:space="preserve">Monitoring 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Interest / characteristic</w:t>
            </w:r>
          </w:p>
        </w:tc>
        <w:tc>
          <w:p>
            <w:pPr>
              <w:pStyle w:val="Compact"/>
              <w:jc w:val="left"/>
            </w:pPr>
            <w:r>
              <w:t xml:space="preserve">Headwaters (Leech Rv.)</w:t>
            </w:r>
          </w:p>
        </w:tc>
        <w:tc>
          <w:p>
            <w:pPr>
              <w:pStyle w:val="Compact"/>
              <w:jc w:val="left"/>
            </w:pPr>
            <w:r>
              <w:t xml:space="preserve">Headwaters (Leech Rv.)</w:t>
            </w:r>
          </w:p>
        </w:tc>
        <w:tc>
          <w:p>
            <w:pPr>
              <w:pStyle w:val="Compact"/>
              <w:jc w:val="left"/>
            </w:pPr>
            <w:r>
              <w:t xml:space="preserve">Leech Rv. head</w:t>
            </w:r>
          </w:p>
        </w:tc>
        <w:tc>
          <w:p>
            <w:pPr>
              <w:pStyle w:val="Compact"/>
              <w:jc w:val="left"/>
            </w:pPr>
            <w:r>
              <w:t xml:space="preserve">Main tributary to Leech Rv.</w:t>
            </w:r>
          </w:p>
        </w:tc>
        <w:tc>
          <w:p>
            <w:pPr>
              <w:pStyle w:val="Compact"/>
              <w:jc w:val="left"/>
            </w:pPr>
            <w:r>
              <w:t xml:space="preserve">Main tributary to Leech Rv.</w:t>
            </w:r>
          </w:p>
        </w:tc>
        <w:tc>
          <w:p>
            <w:pPr>
              <w:pStyle w:val="Compact"/>
              <w:jc w:val="left"/>
            </w:pPr>
            <w:r>
              <w:t xml:space="preserve">Mainstem, future diversion point</w:t>
            </w:r>
          </w:p>
        </w:tc>
        <w:tc>
          <w:p>
            <w:pPr>
              <w:pStyle w:val="Compact"/>
              <w:jc w:val="left"/>
            </w:pPr>
            <w:r>
              <w:t xml:space="preserve">2nd largest tributary to Sooke Reservoir</w:t>
            </w:r>
          </w:p>
        </w:tc>
        <w:tc>
          <w:p>
            <w:pPr>
              <w:pStyle w:val="Compact"/>
              <w:jc w:val="left"/>
            </w:pPr>
            <w:r>
              <w:t xml:space="preserve">Largest tributary to Sooke Reservoir</w:t>
            </w:r>
          </w:p>
        </w:tc>
        <w:tc>
          <w:p>
            <w:pPr>
              <w:pStyle w:val="Compact"/>
              <w:jc w:val="left"/>
            </w:pPr>
            <w:r>
              <w:t xml:space="preserve">Future diversion terminus</w:t>
            </w:r>
          </w:p>
        </w:tc>
        <w:tc>
          <w:p>
            <w:pPr>
              <w:pStyle w:val="Compact"/>
              <w:jc w:val="left"/>
            </w:pPr>
            <w:r>
              <w:t xml:space="preserve">Headwaters (Cragg Crk)</w:t>
            </w:r>
          </w:p>
        </w:tc>
        <w:tc>
          <w:p>
            <w:pPr>
              <w:pStyle w:val="Compact"/>
              <w:jc w:val="left"/>
            </w:pPr>
            <w:r>
              <w:t xml:space="preserve">Headwaters (Cragg Crk)</w:t>
            </w:r>
          </w:p>
        </w:tc>
        <w:tc>
          <w:p>
            <w:pPr>
              <w:pStyle w:val="Compact"/>
              <w:jc w:val="left"/>
            </w:pPr>
            <w:r>
              <w:t xml:space="preserve">below confluence of West-Leech with Leech River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Tree age (average, years)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c>
          <w:p>
            <w:pPr>
              <w:pStyle w:val="Compact"/>
              <w:jc w:val="left"/>
            </w:pPr>
            <w:r>
              <w:t xml:space="preserve">27</w:t>
            </w:r>
          </w:p>
        </w:tc>
        <w:tc>
          <w:p>
            <w:pPr>
              <w:pStyle w:val="Compact"/>
              <w:jc w:val="left"/>
            </w:pPr>
            <w:r>
              <w:t xml:space="preserve">79.2</w:t>
            </w:r>
          </w:p>
        </w:tc>
        <w:tc>
          <w:p>
            <w:pPr>
              <w:pStyle w:val="Compact"/>
              <w:jc w:val="left"/>
            </w:pPr>
            <w:r>
              <w:t xml:space="preserve">61.2</w:t>
            </w:r>
          </w:p>
        </w:tc>
        <w:tc>
          <w:p>
            <w:pPr>
              <w:pStyle w:val="Compact"/>
              <w:jc w:val="left"/>
            </w:pPr>
            <w:r>
              <w:t xml:space="preserve">100</w:t>
            </w:r>
          </w:p>
        </w:tc>
        <w:tc>
          <w:p>
            <w:pPr>
              <w:pStyle w:val="Compact"/>
              <w:jc w:val="left"/>
            </w:pPr>
            <w:r>
              <w:t xml:space="preserve">100</w:t>
            </w:r>
          </w:p>
        </w:tc>
        <w:tc>
          <w:p>
            <w:pPr>
              <w:pStyle w:val="Compact"/>
              <w:jc w:val="left"/>
            </w:pPr>
            <w:r>
              <w:t xml:space="preserve">31</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c>
          <w:p>
            <w:pPr>
              <w:pStyle w:val="Compact"/>
              <w:jc w:val="left"/>
            </w:pPr>
            <w:r>
              <w:t xml:space="preserve">0</w:t>
            </w:r>
          </w:p>
        </w:tc>
        <w:tc>
          <w:p>
            <w:pPr>
              <w:pStyle w:val="Compact"/>
              <w:jc w:val="left"/>
            </w:pPr>
            <w:r>
              <w:t xml:space="preserve">0</w:t>
            </w:r>
          </w:p>
        </w:tc>
        <w:tc>
          <w:p>
            <w:pPr>
              <w:pStyle w:val="Compact"/>
              <w:jc w:val="left"/>
            </w:pPr>
            <w:r>
              <w:t xml:space="preserve">38.8</w:t>
            </w:r>
          </w:p>
        </w:tc>
        <w:tc>
          <w:p>
            <w:pPr>
              <w:pStyle w:val="Compact"/>
              <w:jc w:val="left"/>
            </w:pPr>
            <w:r>
              <w:t xml:space="preserve">0</w:t>
            </w:r>
          </w:p>
        </w:tc>
        <w:tc>
          <w:p>
            <w:pPr>
              <w:pStyle w:val="Compact"/>
              <w:jc w:val="left"/>
            </w:pPr>
            <w:r>
              <w:t xml:space="preserve">0</w:t>
            </w:r>
          </w:p>
        </w:tc>
        <w:tc>
          <w:p>
            <w:pPr>
              <w:pStyle w:val="Compact"/>
              <w:jc w:val="left"/>
            </w:pPr>
            <w:r>
              <w:t xml:space="preserve">45.1</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18.1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3.5</w:t>
            </w:r>
          </w:p>
        </w:tc>
      </w:tr>
      <w:tr>
        <w:tc>
          <w:p>
            <w:pPr>
              <w:pStyle w:val="Compact"/>
              <w:jc w:val="left"/>
            </w:pPr>
            <w:r>
              <w:t xml:space="preserve">Colquitz Gneiss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72.4</w:t>
            </w:r>
          </w:p>
        </w:tc>
        <w:tc>
          <w:p>
            <w:pPr>
              <w:pStyle w:val="Compact"/>
              <w:jc w:val="left"/>
            </w:pPr>
            <w:r>
              <w:t xml:space="preserve">20.3</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Limestone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0.6</w:t>
            </w:r>
          </w:p>
        </w:tc>
        <w:tc>
          <w:p>
            <w:pPr>
              <w:pStyle w:val="Compact"/>
              <w:jc w:val="left"/>
            </w:pPr>
            <w:r>
              <w:t xml:space="preserve">0.4</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9.46</w:t>
            </w:r>
          </w:p>
        </w:tc>
        <w:tc>
          <w:p>
            <w:pPr>
              <w:pStyle w:val="Compact"/>
              <w:jc w:val="left"/>
            </w:pPr>
            <w:r>
              <w:t xml:space="preserve">11.3</w:t>
            </w:r>
          </w:p>
        </w:tc>
        <w:tc>
          <w:p>
            <w:pPr>
              <w:pStyle w:val="Compact"/>
              <w:jc w:val="left"/>
            </w:pPr>
            <w:r>
              <w:t xml:space="preserve">11.8</w:t>
            </w:r>
          </w:p>
        </w:tc>
        <w:tc>
          <w:p>
            <w:pPr>
              <w:pStyle w:val="Compact"/>
              <w:jc w:val="left"/>
            </w:pPr>
            <w:r>
              <w:t xml:space="preserve">9.2</w:t>
            </w:r>
          </w:p>
        </w:tc>
        <w:tc>
          <w:p>
            <w:pPr>
              <w:pStyle w:val="Compact"/>
              <w:jc w:val="left"/>
            </w:pPr>
            <w:r>
              <w:t xml:space="preserve">12.3</w:t>
            </w:r>
          </w:p>
        </w:tc>
        <w:tc>
          <w:p>
            <w:pPr>
              <w:pStyle w:val="Compact"/>
              <w:jc w:val="left"/>
            </w:pPr>
            <w:r>
              <w:t xml:space="preserve">13.8</w:t>
            </w:r>
          </w:p>
        </w:tc>
        <w:tc>
          <w:p>
            <w:pPr>
              <w:pStyle w:val="Compact"/>
              <w:jc w:val="left"/>
            </w:pPr>
            <w:r>
              <w:t xml:space="preserve">5.4</w:t>
            </w:r>
          </w:p>
        </w:tc>
        <w:tc>
          <w:p>
            <w:pPr>
              <w:pStyle w:val="Compact"/>
              <w:jc w:val="left"/>
            </w:pPr>
            <w:r>
              <w:t xml:space="preserve">6.9</w:t>
            </w:r>
          </w:p>
        </w:tc>
        <w:tc>
          <w:p>
            <w:pPr>
              <w:pStyle w:val="Compact"/>
              <w:jc w:val="left"/>
            </w:pPr>
            <w:r>
              <w:t xml:space="preserve">11.7</w:t>
            </w:r>
          </w:p>
        </w:tc>
      </w:tr>
      <w:tr>
        <w:tc>
          <w:p>
            <w:pPr>
              <w:pStyle w:val="Compact"/>
              <w:jc w:val="left"/>
            </w:pPr>
            <w:r>
              <w:t xml:space="preserve">slope, st.dev. (&lt;U+00B1&gt; &lt;U+00B0&gt;)</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c>
          <w:p>
            <w:pPr>
              <w:pStyle w:val="Compact"/>
              <w:jc w:val="left"/>
            </w:pPr>
            <w:r>
              <w:t xml:space="preserve">5.6</w:t>
            </w:r>
          </w:p>
        </w:tc>
        <w:tc>
          <w:p>
            <w:pPr>
              <w:pStyle w:val="Compact"/>
              <w:jc w:val="left"/>
            </w:pPr>
            <w:r>
              <w:t xml:space="preserve">7.3</w:t>
            </w:r>
          </w:p>
        </w:tc>
        <w:tc>
          <w:p>
            <w:pPr>
              <w:pStyle w:val="Compact"/>
              <w:jc w:val="left"/>
            </w:pPr>
            <w:r>
              <w:t xml:space="preserve">7.7</w:t>
            </w:r>
          </w:p>
        </w:tc>
        <w:tc>
          <w:p>
            <w:pPr>
              <w:pStyle w:val="Compact"/>
              <w:jc w:val="left"/>
            </w:pPr>
            <w:r>
              <w:t xml:space="preserve">3.9</w:t>
            </w:r>
          </w:p>
        </w:tc>
        <w:tc>
          <w:p>
            <w:pPr>
              <w:pStyle w:val="Compact"/>
              <w:jc w:val="left"/>
            </w:pPr>
            <w:r>
              <w:t xml:space="preserve">4.8</w:t>
            </w:r>
          </w:p>
        </w:tc>
        <w:tc>
          <w:p>
            <w:pPr>
              <w:pStyle w:val="Compact"/>
              <w:jc w:val="left"/>
            </w:pPr>
            <w:r>
              <w:t xml:space="preserve">8.1</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(n =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diluted to approximately 5 mg/L, catalog No.LC129107, labchem.com).</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(SAC, m</w:t>
      </w:r>
      <w:r>
        <w:rPr>
          <w:vertAlign w:val="superscript"/>
        </w:rPr>
        <w:t xml:space="preserve">-1</w:t>
      </w:r>
      <w:r>
        <w:t xml:space="preserve">) were used to assess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BDP-FP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which is inversely related to aromaticity and molecular size of aquatic humic solutes (Peuravuori and Pihlaja 1997; Helms et al. 2008), 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and were used to help distinguish between wet and dry seasons.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chapter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3</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3: CRD fire weather station (FWx) summary of features</w:t>
      </w:r>
    </w:p>
    <w:tbl>
      <w:tblPr>
        <w:tblStyle w:val="Table"/>
        <w:tblW w:type="pct" w:w="5000.0"/>
        <w:tblLook w:firstRow="1"/>
        <w:tblCaption w:val="Table 3: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4</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4: Average Weather Data from Chris Creek and Martin’s Gulch Fire-weather Stations in Leech Water Supply Area in 2018, 2019, and the period of 2020 included in this project</w:t>
      </w:r>
    </w:p>
    <w:tbl>
      <w:tblPr>
        <w:tblStyle w:val="Table"/>
        <w:tblW w:type="pct" w:w="4999.999999999999"/>
        <w:tblLook w:firstRow="1"/>
        <w:tblCaption w:val="Table 4: Average Weather Data from Chris Creek and Martin’s Gulch Fire-weather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5</w:t>
      </w:r>
      <w:r>
        <w:t xml:space="preserve">).</w:t>
      </w:r>
    </w:p>
    <w:p>
      <w:pPr>
        <w:pStyle w:val="BodyText"/>
      </w:pPr>
      <w:r>
        <w:t xml:space="preserve"> </w:t>
      </w:r>
    </w:p>
    <w:p>
      <w:pPr>
        <w:pStyle w:val="TableCaption"/>
      </w:pPr>
      <w:r>
        <w:t xml:space="preserve">Table 5: Rain Events Defined by Vertical Rack Sample Collection (threshold of 50 mm accumulation with 14-hour inter-event period)</w:t>
      </w:r>
    </w:p>
    <w:tbl>
      <w:tblPr>
        <w:tblStyle w:val="Table"/>
        <w:tblW w:type="pct" w:w="5000.0"/>
        <w:tblLook w:firstRow="1"/>
        <w:tblCaption w:val="Table 5: Rain Events Defined by Vertical Rack Sample Collection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and the period from late January (event 8, Table</w:t>
      </w:r>
      <w:r>
        <w:t xml:space="preserve"> </w:t>
      </w:r>
      <w:r>
        <w:t xml:space="preserve">5</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5</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weather, stream response and sample collection at the six monitoring sites across the LWSA. Seasons were separated by stream responses and conditions that corresponded to Verical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weather, stream response and sample collection at the six monitoring sites across the LWSA. Seasons were separated by stream responses and conditions that corresponded to Verical Rack Sample collection.</w:t>
      </w:r>
    </w:p>
    <w:p>
      <w:pPr>
        <w:pStyle w:val="BodyText"/>
      </w:pPr>
      <w:r>
        <w:t xml:space="preserve"> </w:t>
      </w:r>
    </w:p>
    <w:p>
      <w:pPr>
        <w:pStyle w:val="Heading4"/>
      </w:pPr>
      <w:bookmarkStart w:id="60" w:name="nom-character-sac254-rather-than-suva254"/>
      <w:r>
        <w:t xml:space="preserve">NOM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predictor of DBP-FPs and therefor SAC</w:t>
      </w:r>
      <w:r>
        <w:rPr>
          <w:vertAlign w:val="subscript"/>
        </w:rPr>
        <w:t xml:space="preserve">254</w:t>
      </w:r>
      <w:r>
        <w:t xml:space="preserve"> </w:t>
      </w:r>
      <w:r>
        <w:t xml:space="preserve">was focused on as an indicator of NOM aromaticity and reactivity and SUVA</w:t>
      </w:r>
      <w:r>
        <w:rPr>
          <w:vertAlign w:val="subscript"/>
        </w:rPr>
        <w:t xml:space="preserve">254</w:t>
      </w:r>
      <w:r>
        <w:t xml:space="preserve"> </w:t>
      </w:r>
      <w:r>
        <w:t xml:space="preserve">was largely ommitted from resuls.</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6</w:t>
      </w:r>
      <w:r>
        <w:t xml:space="preserve">).</w:t>
      </w:r>
    </w:p>
    <w:p>
      <w:pPr>
        <w:pStyle w:val="BodyText"/>
      </w:pPr>
      <w:r>
        <w:t xml:space="preserve"> </w:t>
      </w:r>
    </w:p>
    <w:p>
      <w:pPr>
        <w:pStyle w:val="TableCaption"/>
      </w:pPr>
      <w:r>
        <w:t xml:space="preserve">Table 6: Results comparing three Vertical Rack hold-time experiment sets for sample stability in the field</w:t>
      </w:r>
    </w:p>
    <w:tbl>
      <w:tblPr>
        <w:tblStyle w:val="Table"/>
        <w:tblW w:type="pct" w:w="5000.0"/>
        <w:tblLook w:firstRow="1"/>
        <w:tblCaption w:val="Table 6: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6</w:t>
      </w:r>
      <w:r>
        <w:t xml:space="preserve">) there was not truly a reliable change in SAC</w:t>
      </w:r>
      <w:r>
        <w:rPr>
          <w:vertAlign w:val="subscript"/>
        </w:rPr>
        <w:t xml:space="preserve">254</w:t>
      </w:r>
      <w:r>
        <w:t xml:space="preserve"> </w:t>
      </w:r>
      <w:r>
        <w:t xml:space="preserve">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Heading2"/>
      </w:pPr>
      <w:bookmarkStart w:id="67" w:name="X25af521a3909d0d4f6241ff7ec73cbcf47cf7ad"/>
      <w:r>
        <w:t xml:space="preserve">Spatial and Temporal Patterns in DOC &amp; NOM across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w:t>
      </w:r>
      <w:r>
        <w:t xml:space="preserve"> </w:t>
      </w:r>
      <w:r>
        <w:t xml:space="preserve">2</w:t>
      </w:r>
      <w:r>
        <w:t xml:space="preserve"> </w:t>
      </w:r>
      <w:r>
        <w:t xml:space="preserve">for map). Additionally, sampling results were interpreted with the goal of clarifying the influence of seasonality on concentration of DOC and character of NOM.</w:t>
      </w:r>
    </w:p>
    <w:p>
      <w:pPr>
        <w:pStyle w:val="BodyText"/>
      </w:pPr>
      <w:r>
        <w:t xml:space="preserve"> </w:t>
      </w:r>
    </w:p>
    <w:p>
      <w:pPr>
        <w:pStyle w:val="BodyText"/>
      </w:pPr>
      <w:r>
        <w:t xml:space="preserve">DOC and NOM results were evaluated by comparing results from low- to high-order streams; between the Leech and Sooke portions of the water supply area (WSA); by sample method (standard Grab versus Vertical Rack); and across seasons.</w:t>
      </w:r>
    </w:p>
    <w:p>
      <w:pPr>
        <w:pStyle w:val="BodyText"/>
      </w:pPr>
      <w:r>
        <w:t xml:space="preserve"> </w:t>
      </w:r>
    </w:p>
    <w:p>
      <w:pPr>
        <w:pStyle w:val="Heading3"/>
      </w:pPr>
      <w:bookmarkStart w:id="69" w:name="sampling-results"/>
      <w:r>
        <w:t xml:space="preserve">Sampling Results</w:t>
      </w:r>
      <w:bookmarkEnd w:id="69"/>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7</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10.8% (n=20).</w:t>
      </w:r>
    </w:p>
    <w:p>
      <w:pPr>
        <w:pStyle w:val="BodyText"/>
      </w:pPr>
      <w:r>
        <w:t xml:space="preserve"> </w:t>
      </w:r>
    </w:p>
    <w:p>
      <w:pPr>
        <w:pStyle w:val="TableCaption"/>
      </w:pPr>
      <w:r>
        <w:t xml:space="preserve">Table 7: Summary of Samples Collected and Number Included in Data Analysis</w:t>
      </w:r>
    </w:p>
    <w:tbl>
      <w:tblPr>
        <w:tblStyle w:val="Table"/>
        <w:tblW w:type="pct" w:w="5000.0"/>
        <w:tblLook w:firstRow="1"/>
        <w:tblCaption w:val="Table 7: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0" w:name="spatial-patterns-in-doc-nom"/>
      <w:r>
        <w:t xml:space="preserve">Spatial patterns in DOC &amp; NOM</w:t>
      </w:r>
      <w:bookmarkEnd w:id="70"/>
    </w:p>
    <w:p>
      <w:pPr>
        <w:pStyle w:val="FirstParagraph"/>
      </w:pPr>
      <w:r>
        <w:t xml:space="preserve">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8</w:t>
      </w:r>
      <w:r>
        <w:t xml:space="preserve">, Figure</w:t>
      </w:r>
      <w:r>
        <w:t xml:space="preserve"> </w:t>
      </w:r>
      <w:r>
        <w:t xml:space="preserve">8</w:t>
      </w:r>
      <w:r>
        <w:t xml:space="preserve">).</w:t>
      </w:r>
    </w:p>
    <w:p>
      <w:pPr>
        <w:pStyle w:val="BodyText"/>
      </w:pPr>
      <w:r>
        <w:t xml:space="preserve"> </w:t>
      </w:r>
    </w:p>
    <w:p>
      <w:pPr>
        <w:pStyle w:val="TableCaption"/>
      </w:pPr>
      <w:r>
        <w:t xml:space="preserve">Table 8: Dissolved Organic Carbon Concentrations (DOC) Across Twelve Synoptically Sampled Sites in the Greater Victoria Water Supply Area</w:t>
      </w:r>
    </w:p>
    <w:tbl>
      <w:tblPr>
        <w:tblStyle w:val="Table"/>
        <w:tblW w:type="pct" w:w="5000.0"/>
        <w:tblLook w:firstRow="1"/>
        <w:tblCaption w:val="Table 8: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Like DOC, there was an overall reduction in NOM aromaticity and/or molecular size from upstream to downstream sites (Figure</w:t>
      </w:r>
      <w:r>
        <w:t xml:space="preserve"> </w:t>
      </w:r>
      <w:r>
        <w:t xml:space="preserve">8</w:t>
      </w:r>
      <w:r>
        <w:t xml:space="preserve">). The absolute lowest measurement for NOM aromaticity occurred at the Cragg crk site (SAC</w:t>
      </w:r>
      <w:r>
        <w:rPr>
          <w:vertAlign w:val="subscript"/>
        </w:rPr>
        <w:t xml:space="preserve">254</w:t>
      </w:r>
      <w:r>
        <w:t xml:space="preserve"> </w:t>
      </w:r>
      <w:r>
        <w:t xml:space="preserve">4.69 m</w:t>
      </w:r>
      <w:r>
        <w:rPr>
          <w:vertAlign w:val="superscript"/>
        </w:rPr>
        <w:t xml:space="preserve">-1</w:t>
      </w:r>
      <w:r>
        <w:t xml:space="preserve">, E</w:t>
      </w:r>
      <w:r>
        <w:rPr>
          <w:vertAlign w:val="subscript"/>
        </w:rPr>
        <w:t xml:space="preserve">2</w:t>
      </w:r>
      <w:r>
        <w:t xml:space="preserve">:E</w:t>
      </w:r>
      <w:r>
        <w:rPr>
          <w:vertAlign w:val="subscript"/>
        </w:rPr>
        <w:t xml:space="preserve">3</w:t>
      </w:r>
      <w:r>
        <w:t xml:space="preserve"> </w:t>
      </w:r>
      <w:r>
        <w:t xml:space="preserve">of 5.03). Cragg crk had among the lowest mean aromaticity also, though it tied with Judge crk (mean E</w:t>
      </w:r>
      <w:r>
        <w:rPr>
          <w:vertAlign w:val="subscript"/>
        </w:rPr>
        <w:t xml:space="preserve">2</w:t>
      </w:r>
      <w:r>
        <w:t xml:space="preserve">:E</w:t>
      </w:r>
      <w:r>
        <w:rPr>
          <w:vertAlign w:val="subscript"/>
        </w:rPr>
        <w:t xml:space="preserve">3</w:t>
      </w:r>
      <w:r>
        <w:t xml:space="preserve"> </w:t>
      </w:r>
      <w:r>
        <w:t xml:space="preserve">of 4.59), which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9</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9: Spectral Properties of Natural Organic Matter (NOM) Character Across Twelve Synoptically Sampled Sites in the Greater Victoria Water Supply Area</w:t>
      </w:r>
    </w:p>
    <w:tbl>
      <w:tblPr>
        <w:tblStyle w:val="Table"/>
        <w:tblW w:type="pct" w:w="5000.0"/>
        <w:tblLook w:firstRow="1"/>
        <w:tblCaption w:val="Table 9: Spectral Properties of Natural Organic Matter (NOM) Character Across Twelve Synoptically Sampled Sites in the Greater Victoria Water Supply Area"/>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1"/>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moderate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7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pPr>
        <w:pStyle w:val="BodyText"/>
      </w:pPr>
      <w:r>
        <w:t xml:space="preserve"> </w:t>
      </w:r>
    </w:p>
    <w:p>
      <w:pPr>
        <w:pStyle w:val="Heading4"/>
      </w:pPr>
      <w:bookmarkStart w:id="73" w:name="temporal-patterns-in-doc-nom"/>
      <w:r>
        <w:t xml:space="preserve">Temporal patterns in DOC &amp; NOM</w:t>
      </w:r>
      <w:bookmarkEnd w:id="73"/>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7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data-sparce period, appears to fit the overall pattern of available data.</w:t>
      </w:r>
    </w:p>
    <w:p>
      <w:pPr>
        <w:pStyle w:val="BodyText"/>
      </w:pPr>
      <w:r>
        <w:t xml:space="preserve"> </w:t>
      </w:r>
    </w:p>
    <w:p>
      <w:pPr>
        <w:pStyle w:val="BodyText"/>
      </w:pPr>
      <w:r>
        <w:t xml:space="preserve">Despite DOC changes over time, there was almost no difference between mean DOC concentrations during the wet and dry seasons (6.13 mg/L compared to 6.14 mg/L, Table</w:t>
      </w:r>
      <w:r>
        <w:t xml:space="preserve"> </w:t>
      </w:r>
      <w:r>
        <w:t xml:space="preserve">10</w:t>
      </w:r>
      <w:r>
        <w:t xml:space="preserve">). However, there were far fewer samples collected in the dry season (55) than during the wet season (311).</w:t>
      </w:r>
    </w:p>
    <w:p>
      <w:pPr>
        <w:pStyle w:val="BodyText"/>
      </w:pPr>
      <w:r>
        <w:t xml:space="preserve"> </w:t>
      </w:r>
    </w:p>
    <w:p>
      <w:pPr>
        <w:pStyle w:val="TableCaption"/>
      </w:pPr>
      <w:r>
        <w:t xml:space="preserve">Table 10: Seasonal Sample Collection and Dissolved Organic Carbon (DOC) Summary from Twelve Synoptic Sampling Sites Across the Greater Victoria Water Supply Area</w:t>
      </w:r>
    </w:p>
    <w:tbl>
      <w:tblPr>
        <w:tblStyle w:val="Table"/>
        <w:tblW w:type="pct" w:w="5000.0"/>
        <w:tblLook w:firstRow="1"/>
        <w:tblCaption w:val="Table 10: Seasonal Sample Collection and Dissolved Organic Carbon (DOC) Summary from Twelve Synoptic Sampling Sites Across the Greater Victoria Water Supply Area"/>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w:t>
      </w:r>
      <w:r>
        <w:t xml:space="preserve"> </w:t>
      </w:r>
      <w:r>
        <w:t xml:space="preserve">11</w:t>
      </w:r>
      <w:r>
        <w:t xml:space="preserve">). Across the six sites, Rack samples contained higher DOC concentrations on average that Grab samples (6.8 mg/L compared to 5.2 mg/L). Surprisingly, a slightly greater variance was captured through Grab sampling (53% RSD) compared to Rack sampling (41% RSD).</w:t>
      </w:r>
    </w:p>
    <w:p>
      <w:pPr>
        <w:pStyle w:val="BodyText"/>
      </w:pPr>
      <w:r>
        <w:t xml:space="preserve"> </w:t>
      </w:r>
    </w:p>
    <w:p>
      <w:pPr>
        <w:pStyle w:val="TableCaption"/>
      </w:pPr>
      <w:r>
        <w:t xml:space="preserve">Table 11: Wet Season Dissolved Organic Carbon (DOC) by Sample Collection Method at Six Monitoring Sites in the Leech Watershed</w:t>
      </w:r>
    </w:p>
    <w:tbl>
      <w:tblPr>
        <w:tblStyle w:val="Table"/>
        <w:tblW w:type="pct" w:w="4999.999999999999"/>
        <w:tblLook w:firstRow="1"/>
        <w:tblCaption w:val="Table 11: Wet Season Dissolved Organic Carbon (DOC) by Sample Collection Method at Six Monitoring Sites in the Leech Watershed"/>
      </w:tblPr>
      <w:tblGrid>
        <w:gridCol w:w="969"/>
        <w:gridCol w:w="484"/>
        <w:gridCol w:w="1293"/>
        <w:gridCol w:w="1293"/>
        <w:gridCol w:w="808"/>
        <w:gridCol w:w="969"/>
        <w:gridCol w:w="1131"/>
        <w:gridCol w:w="969"/>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All of the sites had higher mean DOC collected by Rack sampling in events compared to DOC mean in Grab samples (Table</w:t>
      </w:r>
      <w:r>
        <w:t xml:space="preserve"> </w:t>
      </w:r>
      <w:r>
        <w:t xml:space="preserve">11</w:t>
      </w:r>
      <w:r>
        <w:t xml:space="preserve">). Weeks crk had the highest DOC overall, with slightly higher concentrations occurring during stream rise (10.3 mg/L). Interestingly, Rack samples at Weeks crk captured 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w:t>
      </w:r>
      <w:r>
        <w:t xml:space="preserve"> </w:t>
      </w:r>
      <w:r>
        <w:t xml:space="preserve">11</w:t>
      </w:r>
      <w:r>
        <w:t xml:space="preserve">).</w:t>
      </w:r>
    </w:p>
    <w:p>
      <w:pPr>
        <w:pStyle w:val="BodyText"/>
      </w:pPr>
      <w:r>
        <w:t xml:space="preserve"> </w:t>
      </w:r>
    </w:p>
    <w:p>
      <w:pPr>
        <w:pStyle w:val="TableCaption"/>
      </w:pPr>
      <w:r>
        <w:t xml:space="preserve">Table 12: Wet Season Dissolved Organic Carbon (DOC) by Sample Collection Method at Each of the Six Monitoring Sites in the Leech Watershed</w:t>
      </w:r>
    </w:p>
    <w:tbl>
      <w:tblPr>
        <w:tblStyle w:val="Table"/>
        <w:tblW w:type="pct" w:w="5000.0"/>
        <w:tblLook w:firstRow="1"/>
        <w:tblCaption w:val="Table 12: Wet Season Dissolved Organic Carbon (DOC) by Sample Collection Method at Each of the Six Monitoring Sites in the Leech Watershed"/>
      </w:tblPr>
      <w:tblGrid>
        <w:gridCol w:w="733"/>
        <w:gridCol w:w="880"/>
        <w:gridCol w:w="440"/>
        <w:gridCol w:w="1173"/>
        <w:gridCol w:w="1173"/>
        <w:gridCol w:w="733"/>
        <w:gridCol w:w="880"/>
        <w:gridCol w:w="1026"/>
        <w:gridCol w:w="88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right"/>
            </w:pPr>
            <w:r>
              <w:t xml:space="preserve">9.28</w:t>
            </w:r>
          </w:p>
        </w:tc>
        <w:tc>
          <w:p>
            <w:pPr>
              <w:pStyle w:val="Compact"/>
              <w:jc w:val="right"/>
            </w:pPr>
            <w:r>
              <w:t xml:space="preserve">3.21</w:t>
            </w:r>
          </w:p>
        </w:tc>
        <w:tc>
          <w:p>
            <w:pPr>
              <w:pStyle w:val="Compact"/>
              <w:jc w:val="right"/>
            </w:pPr>
            <w:r>
              <w:t xml:space="preserve">35</w:t>
            </w:r>
          </w:p>
        </w:tc>
        <w:tc>
          <w:p>
            <w:pPr>
              <w:pStyle w:val="Compact"/>
              <w:jc w:val="right"/>
            </w:pPr>
            <w:r>
              <w:t xml:space="preserve">6.4</w:t>
            </w:r>
          </w:p>
        </w:tc>
        <w:tc>
          <w:p>
            <w:pPr>
              <w:pStyle w:val="Compact"/>
              <w:jc w:val="right"/>
            </w:pPr>
            <w:r>
              <w:t xml:space="preserve">8.9</w:t>
            </w:r>
          </w:p>
        </w:tc>
        <w:tc>
          <w:p>
            <w:pPr>
              <w:pStyle w:val="Compact"/>
              <w:jc w:val="right"/>
            </w:pPr>
            <w:r>
              <w:t xml:space="preserve">18.7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10.25</w:t>
            </w:r>
          </w:p>
        </w:tc>
        <w:tc>
          <w:p>
            <w:pPr>
              <w:pStyle w:val="Compact"/>
              <w:jc w:val="right"/>
            </w:pPr>
            <w:r>
              <w:t xml:space="preserve">3.74</w:t>
            </w:r>
          </w:p>
        </w:tc>
        <w:tc>
          <w:p>
            <w:pPr>
              <w:pStyle w:val="Compact"/>
              <w:jc w:val="right"/>
            </w:pPr>
            <w:r>
              <w:t xml:space="preserve">36</w:t>
            </w:r>
          </w:p>
        </w:tc>
        <w:tc>
          <w:p>
            <w:pPr>
              <w:pStyle w:val="Compact"/>
              <w:jc w:val="right"/>
            </w:pPr>
            <w:r>
              <w:t xml:space="preserve">3.8</w:t>
            </w:r>
          </w:p>
        </w:tc>
        <w:tc>
          <w:p>
            <w:pPr>
              <w:pStyle w:val="Compact"/>
              <w:jc w:val="right"/>
            </w:pPr>
            <w:r>
              <w:t xml:space="preserve">9.9</w:t>
            </w:r>
          </w:p>
        </w:tc>
        <w:tc>
          <w:p>
            <w:pPr>
              <w:pStyle w:val="Compact"/>
              <w:jc w:val="right"/>
            </w:pPr>
            <w:r>
              <w:t xml:space="preserve">19.1</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right"/>
            </w:pPr>
            <w:r>
              <w:t xml:space="preserve">3.62</w:t>
            </w:r>
          </w:p>
        </w:tc>
        <w:tc>
          <w:p>
            <w:pPr>
              <w:pStyle w:val="Compact"/>
              <w:jc w:val="right"/>
            </w:pPr>
            <w:r>
              <w:t xml:space="preserve">1.99</w:t>
            </w:r>
          </w:p>
        </w:tc>
        <w:tc>
          <w:p>
            <w:pPr>
              <w:pStyle w:val="Compact"/>
              <w:jc w:val="right"/>
            </w:pPr>
            <w:r>
              <w:t xml:space="preserve">55</w:t>
            </w:r>
          </w:p>
        </w:tc>
        <w:tc>
          <w:p>
            <w:pPr>
              <w:pStyle w:val="Compact"/>
              <w:jc w:val="right"/>
            </w:pPr>
            <w:r>
              <w:t xml:space="preserve">1.8</w:t>
            </w:r>
          </w:p>
        </w:tc>
        <w:tc>
          <w:p>
            <w:pPr>
              <w:pStyle w:val="Compact"/>
              <w:jc w:val="right"/>
            </w:pPr>
            <w:r>
              <w:t xml:space="preserve">2.8</w:t>
            </w:r>
          </w:p>
        </w:tc>
        <w:tc>
          <w:p>
            <w:pPr>
              <w:pStyle w:val="Compact"/>
              <w:jc w:val="right"/>
            </w:pPr>
            <w:r>
              <w:t xml:space="preserve">9.0</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5.52</w:t>
            </w:r>
          </w:p>
        </w:tc>
        <w:tc>
          <w:p>
            <w:pPr>
              <w:pStyle w:val="Compact"/>
              <w:jc w:val="right"/>
            </w:pPr>
            <w:r>
              <w:t xml:space="preserve">1.75</w:t>
            </w:r>
          </w:p>
        </w:tc>
        <w:tc>
          <w:p>
            <w:pPr>
              <w:pStyle w:val="Compact"/>
              <w:jc w:val="right"/>
            </w:pPr>
            <w:r>
              <w:t xml:space="preserve">32</w:t>
            </w:r>
          </w:p>
        </w:tc>
        <w:tc>
          <w:p>
            <w:pPr>
              <w:pStyle w:val="Compact"/>
              <w:jc w:val="right"/>
            </w:pPr>
            <w:r>
              <w:t xml:space="preserve">2.6</w:t>
            </w:r>
          </w:p>
        </w:tc>
        <w:tc>
          <w:p>
            <w:pPr>
              <w:pStyle w:val="Compact"/>
              <w:jc w:val="right"/>
            </w:pPr>
            <w:r>
              <w:t xml:space="preserve">5.4</w:t>
            </w:r>
          </w:p>
        </w:tc>
        <w:tc>
          <w:p>
            <w:pPr>
              <w:pStyle w:val="Compact"/>
              <w:jc w:val="right"/>
            </w:pPr>
            <w:r>
              <w:t xml:space="preserve">9.2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7.13</w:t>
            </w:r>
          </w:p>
        </w:tc>
        <w:tc>
          <w:p>
            <w:pPr>
              <w:pStyle w:val="Compact"/>
              <w:jc w:val="right"/>
            </w:pPr>
            <w:r>
              <w:t xml:space="preserve">1.91</w:t>
            </w:r>
          </w:p>
        </w:tc>
        <w:tc>
          <w:p>
            <w:pPr>
              <w:pStyle w:val="Compact"/>
              <w:jc w:val="right"/>
            </w:pPr>
            <w:r>
              <w:t xml:space="preserve">27</w:t>
            </w:r>
          </w:p>
        </w:tc>
        <w:tc>
          <w:p>
            <w:pPr>
              <w:pStyle w:val="Compact"/>
              <w:jc w:val="right"/>
            </w:pPr>
            <w:r>
              <w:t xml:space="preserve">4.9</w:t>
            </w:r>
          </w:p>
        </w:tc>
        <w:tc>
          <w:p>
            <w:pPr>
              <w:pStyle w:val="Compact"/>
              <w:jc w:val="right"/>
            </w:pPr>
            <w:r>
              <w:t xml:space="preserve">6.2</w:t>
            </w:r>
          </w:p>
        </w:tc>
        <w:tc>
          <w:p>
            <w:pPr>
              <w:pStyle w:val="Compact"/>
              <w:jc w:val="right"/>
            </w:pPr>
            <w:r>
              <w:t xml:space="preserve">11.6</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7.45</w:t>
            </w:r>
          </w:p>
        </w:tc>
        <w:tc>
          <w:p>
            <w:pPr>
              <w:pStyle w:val="Compact"/>
              <w:jc w:val="right"/>
            </w:pPr>
            <w:r>
              <w:t xml:space="preserve">1.73</w:t>
            </w:r>
          </w:p>
        </w:tc>
        <w:tc>
          <w:p>
            <w:pPr>
              <w:pStyle w:val="Compact"/>
              <w:jc w:val="right"/>
            </w:pPr>
            <w:r>
              <w:t xml:space="preserve">23</w:t>
            </w:r>
          </w:p>
        </w:tc>
        <w:tc>
          <w:p>
            <w:pPr>
              <w:pStyle w:val="Compact"/>
              <w:jc w:val="right"/>
            </w:pPr>
            <w:r>
              <w:t xml:space="preserve">4.0</w:t>
            </w:r>
          </w:p>
        </w:tc>
        <w:tc>
          <w:p>
            <w:pPr>
              <w:pStyle w:val="Compact"/>
              <w:jc w:val="right"/>
            </w:pPr>
            <w:r>
              <w:t xml:space="preserve">7.3</w:t>
            </w:r>
          </w:p>
        </w:tc>
        <w:tc>
          <w:p>
            <w:pPr>
              <w:pStyle w:val="Compact"/>
              <w:jc w:val="right"/>
            </w:pPr>
            <w:r>
              <w:t xml:space="preserve">10.6</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right"/>
            </w:pPr>
            <w:r>
              <w:t xml:space="preserve">4.10</w:t>
            </w:r>
          </w:p>
        </w:tc>
        <w:tc>
          <w:p>
            <w:pPr>
              <w:pStyle w:val="Compact"/>
              <w:jc w:val="right"/>
            </w:pPr>
            <w:r>
              <w:t xml:space="preserve">1.33</w:t>
            </w:r>
          </w:p>
        </w:tc>
        <w:tc>
          <w:p>
            <w:pPr>
              <w:pStyle w:val="Compact"/>
              <w:jc w:val="right"/>
            </w:pPr>
            <w:r>
              <w:t xml:space="preserve">32</w:t>
            </w:r>
          </w:p>
        </w:tc>
        <w:tc>
          <w:p>
            <w:pPr>
              <w:pStyle w:val="Compact"/>
              <w:jc w:val="right"/>
            </w:pPr>
            <w:r>
              <w:t xml:space="preserve">2.6</w:t>
            </w:r>
          </w:p>
        </w:tc>
        <w:tc>
          <w:p>
            <w:pPr>
              <w:pStyle w:val="Compact"/>
              <w:jc w:val="right"/>
            </w:pPr>
            <w:r>
              <w:t xml:space="preserve">3.6</w:t>
            </w:r>
          </w:p>
        </w:tc>
        <w:tc>
          <w:p>
            <w:pPr>
              <w:pStyle w:val="Compact"/>
              <w:jc w:val="right"/>
            </w:pPr>
            <w:r>
              <w:t xml:space="preserve">7.5</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5.26</w:t>
            </w:r>
          </w:p>
        </w:tc>
        <w:tc>
          <w:p>
            <w:pPr>
              <w:pStyle w:val="Compact"/>
              <w:jc w:val="right"/>
            </w:pPr>
            <w:r>
              <w:t xml:space="preserve">1.54</w:t>
            </w:r>
          </w:p>
        </w:tc>
        <w:tc>
          <w:p>
            <w:pPr>
              <w:pStyle w:val="Compact"/>
              <w:jc w:val="right"/>
            </w:pPr>
            <w:r>
              <w:t xml:space="preserve">29</w:t>
            </w:r>
          </w:p>
        </w:tc>
        <w:tc>
          <w:p>
            <w:pPr>
              <w:pStyle w:val="Compact"/>
              <w:jc w:val="right"/>
            </w:pPr>
            <w:r>
              <w:t xml:space="preserve">3.0</w:t>
            </w:r>
          </w:p>
        </w:tc>
        <w:tc>
          <w:p>
            <w:pPr>
              <w:pStyle w:val="Compact"/>
              <w:jc w:val="right"/>
            </w:pPr>
            <w:r>
              <w:t xml:space="preserve">4.9</w:t>
            </w:r>
          </w:p>
        </w:tc>
        <w:tc>
          <w:p>
            <w:pPr>
              <w:pStyle w:val="Compact"/>
              <w:jc w:val="right"/>
            </w:pPr>
            <w:r>
              <w:t xml:space="preserve">8.2</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right"/>
            </w:pPr>
            <w:r>
              <w:t xml:space="preserve">4.18</w:t>
            </w:r>
          </w:p>
        </w:tc>
        <w:tc>
          <w:p>
            <w:pPr>
              <w:pStyle w:val="Compact"/>
              <w:jc w:val="right"/>
            </w:pPr>
            <w:r>
              <w:t xml:space="preserve">1.87</w:t>
            </w:r>
          </w:p>
        </w:tc>
        <w:tc>
          <w:p>
            <w:pPr>
              <w:pStyle w:val="Compact"/>
              <w:jc w:val="right"/>
            </w:pPr>
            <w:r>
              <w:t xml:space="preserve">45</w:t>
            </w:r>
          </w:p>
        </w:tc>
        <w:tc>
          <w:p>
            <w:pPr>
              <w:pStyle w:val="Compact"/>
              <w:jc w:val="right"/>
            </w:pPr>
            <w:r>
              <w:t xml:space="preserve">2.3</w:t>
            </w:r>
          </w:p>
        </w:tc>
        <w:tc>
          <w:p>
            <w:pPr>
              <w:pStyle w:val="Compact"/>
              <w:jc w:val="right"/>
            </w:pPr>
            <w:r>
              <w:t xml:space="preserve">3.5</w:t>
            </w:r>
          </w:p>
        </w:tc>
        <w:tc>
          <w:p>
            <w:pPr>
              <w:pStyle w:val="Compact"/>
              <w:jc w:val="right"/>
            </w:pPr>
            <w:r>
              <w:t xml:space="preserve">9.1</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6.67</w:t>
            </w:r>
          </w:p>
        </w:tc>
        <w:tc>
          <w:p>
            <w:pPr>
              <w:pStyle w:val="Compact"/>
              <w:jc w:val="right"/>
            </w:pPr>
            <w:r>
              <w:t xml:space="preserve">2.23</w:t>
            </w:r>
          </w:p>
        </w:tc>
        <w:tc>
          <w:p>
            <w:pPr>
              <w:pStyle w:val="Compact"/>
              <w:jc w:val="right"/>
            </w:pPr>
            <w:r>
              <w:t xml:space="preserve">33</w:t>
            </w:r>
          </w:p>
        </w:tc>
        <w:tc>
          <w:p>
            <w:pPr>
              <w:pStyle w:val="Compact"/>
              <w:jc w:val="right"/>
            </w:pPr>
            <w:r>
              <w:t xml:space="preserve">2.9</w:t>
            </w:r>
          </w:p>
        </w:tc>
        <w:tc>
          <w:p>
            <w:pPr>
              <w:pStyle w:val="Compact"/>
              <w:jc w:val="right"/>
            </w:pPr>
            <w:r>
              <w:t xml:space="preserve">6.5</w:t>
            </w:r>
          </w:p>
        </w:tc>
        <w:tc>
          <w:p>
            <w:pPr>
              <w:pStyle w:val="Compact"/>
              <w:jc w:val="right"/>
            </w:pPr>
            <w:r>
              <w:t xml:space="preserve">10.9</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4.28</w:t>
            </w:r>
          </w:p>
        </w:tc>
        <w:tc>
          <w:p>
            <w:pPr>
              <w:pStyle w:val="Compact"/>
              <w:jc w:val="right"/>
            </w:pPr>
            <w:r>
              <w:t xml:space="preserve">1.46</w:t>
            </w:r>
          </w:p>
        </w:tc>
        <w:tc>
          <w:p>
            <w:pPr>
              <w:pStyle w:val="Compact"/>
              <w:jc w:val="right"/>
            </w:pPr>
            <w:r>
              <w:t xml:space="preserve">34</w:t>
            </w:r>
          </w:p>
        </w:tc>
        <w:tc>
          <w:p>
            <w:pPr>
              <w:pStyle w:val="Compact"/>
              <w:jc w:val="right"/>
            </w:pPr>
            <w:r>
              <w:t xml:space="preserve">2.2</w:t>
            </w:r>
          </w:p>
        </w:tc>
        <w:tc>
          <w:p>
            <w:pPr>
              <w:pStyle w:val="Compact"/>
              <w:jc w:val="right"/>
            </w:pPr>
            <w:r>
              <w:t xml:space="preserve">3.7</w:t>
            </w:r>
          </w:p>
        </w:tc>
        <w:tc>
          <w:p>
            <w:pPr>
              <w:pStyle w:val="Compact"/>
              <w:jc w:val="right"/>
            </w:pPr>
            <w:r>
              <w:t xml:space="preserve">8.9</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5.60</w:t>
            </w:r>
          </w:p>
        </w:tc>
        <w:tc>
          <w:p>
            <w:pPr>
              <w:pStyle w:val="Compact"/>
              <w:jc w:val="right"/>
            </w:pPr>
            <w:r>
              <w:t xml:space="preserve">1.69</w:t>
            </w:r>
          </w:p>
        </w:tc>
        <w:tc>
          <w:p>
            <w:pPr>
              <w:pStyle w:val="Compact"/>
              <w:jc w:val="right"/>
            </w:pPr>
            <w:r>
              <w:t xml:space="preserve">30</w:t>
            </w:r>
          </w:p>
        </w:tc>
        <w:tc>
          <w:p>
            <w:pPr>
              <w:pStyle w:val="Compact"/>
              <w:jc w:val="right"/>
            </w:pPr>
            <w:r>
              <w:t xml:space="preserve">2.7</w:t>
            </w:r>
          </w:p>
        </w:tc>
        <w:tc>
          <w:p>
            <w:pPr>
              <w:pStyle w:val="Compact"/>
              <w:jc w:val="right"/>
            </w:pPr>
            <w:r>
              <w:t xml:space="preserve">5.6</w:t>
            </w:r>
          </w:p>
        </w:tc>
        <w:tc>
          <w:p>
            <w:pPr>
              <w:pStyle w:val="Compact"/>
              <w:jc w:val="right"/>
            </w:pPr>
            <w:r>
              <w:t xml:space="preserve">9.0</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in the wet season only."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7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DOC from each monitoring site grouped by collection method (synoptic Grab vs. Vertical Rack samples) in the wet season only.</w:t>
      </w:r>
    </w:p>
    <w:p>
      <w:pPr>
        <w:pStyle w:val="BodyText"/>
      </w:pPr>
      <w:r>
        <w:t xml:space="preserve"> </w:t>
      </w:r>
    </w:p>
    <w:p>
      <w:pPr>
        <w:pStyle w:val="BodyText"/>
      </w:pPr>
      <w:r>
        <w:t xml:space="preserve">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pPr>
        <w:pStyle w:val="BodyText"/>
      </w:pPr>
      <w:r>
        <w:t xml:space="preserve"> </w:t>
      </w:r>
    </w:p>
    <w:p>
      <w:pPr>
        <w:pStyle w:val="Heading5"/>
      </w:pPr>
      <w:bookmarkStart w:id="76" w:name="seasonal-changes-in-nom-character"/>
      <w:r>
        <w:t xml:space="preserve">Seasonal changes in NOM character</w:t>
      </w:r>
      <w:bookmarkEnd w:id="76"/>
    </w:p>
    <w:p>
      <w:pPr>
        <w:pStyle w:val="FirstParagraph"/>
      </w:pPr>
      <w:r>
        <w:t xml:space="preserve">To evaluate if (and when) molecular character of synoptic stream samples shifted, DOC concentrations (as NPOC) were compared to specific absorbance coefficients at 254 nm (SAC</w:t>
      </w:r>
      <w:r>
        <w:rPr>
          <w:vertAlign w:val="subscript"/>
        </w:rPr>
        <w:t xml:space="preserve">254</w:t>
      </w:r>
      <w:r>
        <w:t xml:space="preserve">, used by the spectro::lyser to estimate DOC). DOC concentration was well correlated with SAC</w:t>
      </w:r>
      <w:r>
        <w:rPr>
          <w:vertAlign w:val="subscript"/>
        </w:rPr>
        <w:t xml:space="preserve">254</w:t>
      </w:r>
      <w:r>
        <w:t xml:space="preserve"> </w:t>
      </w:r>
      <w:r>
        <w:t xml:space="preserve">during the wet season, but the relationship was not as tight in the dry season or during the transition from dry to wet seasons in the first-flush event (Figure</w:t>
      </w:r>
      <w:r>
        <w:t xml:space="preserve"> </w:t>
      </w:r>
      <w:r>
        <w:t xml:space="preserve">12</w:t>
      </w:r>
      <w:r>
        <w:t xml:space="preserve">).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pPr>
        <w:pStyle w:val="BodyText"/>
      </w:pPr>
      <w:r>
        <w:t xml:space="preserve"> </w:t>
      </w:r>
    </w:p>
    <w:p>
      <w:pPr>
        <w:pStyle w:val="CaptionedFigure"/>
      </w:pPr>
      <w:r>
        <w:drawing>
          <wp:inline>
            <wp:extent cx="4587290" cy="4587290"/>
            <wp:effectExtent b="0" l="0" r="0" t="0"/>
            <wp:docPr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title="" id="1" name="Picture"/>
            <a:graphic>
              <a:graphicData uri="http://schemas.openxmlformats.org/drawingml/2006/picture">
                <pic:pic>
                  <pic:nvPicPr>
                    <pic:cNvPr descr="R-outputs_UBC-forWater-MSc_HMc/figures/Ch2_DOC-SAC254_seasonal_with-Inset.png" id="0" name="Picture"/>
                    <pic:cNvPicPr>
                      <a:picLocks noChangeArrowheads="1" noChangeAspect="1"/>
                    </pic:cNvPicPr>
                  </pic:nvPicPr>
                  <pic:blipFill>
                    <a:blip r:embed="rId77"/>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with results grouped by sampling season. The inset shows DOC (as NPOC) plotted against DOC estimated by the spectro::lyser with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 </w:t>
      </w:r>
    </w:p>
    <w:p>
      <w:pPr>
        <w:pStyle w:val="BodyText"/>
      </w:pPr>
      <w:r>
        <w:t xml:space="preserve">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pPr>
        <w:pStyle w:val="BodyText"/>
      </w:pPr>
      <w:r>
        <w:t xml:space="preserve"> </w:t>
      </w:r>
    </w:p>
    <w:p>
      <w:pPr>
        <w:pStyle w:val="Heading3"/>
      </w:pPr>
      <w:bookmarkStart w:id="78" w:name="discussion"/>
      <w:r>
        <w:t xml:space="preserve">Discussion</w:t>
      </w:r>
      <w:bookmarkEnd w:id="78"/>
    </w:p>
    <w:p>
      <w:pPr>
        <w:pStyle w:val="FirstParagraph"/>
      </w:pPr>
      <w:r>
        <w:t xml:space="preserve"> </w:t>
      </w:r>
    </w:p>
    <w:p>
      <w:pPr>
        <w:pStyle w:val="BodyText"/>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r>
        <w:t xml:space="preserve"> </w:t>
      </w:r>
      <w:r>
        <w:t xml:space="preserve">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Weeks creek had higher aromaticity than all of the other sites, which was likely due to inputs from Weeks Lake and its surrounding wetlands. 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NOM character at the West Leech site had high aromaticity compared to other higher-order streams, and showed considerable event-based changes in NOM character and concentration,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it would be interesting to evaluate watershed features to identify possible drivers for NOM dynamics.</w:t>
      </w:r>
    </w:p>
    <w:p>
      <w:pPr>
        <w:pStyle w:val="BodyText"/>
      </w:pPr>
      <w:r>
        <w:t xml:space="preserve"> </w:t>
      </w:r>
    </w:p>
    <w:p>
      <w:pPr>
        <w:pStyle w:val="BodyText"/>
      </w:pPr>
      <w:r>
        <w:t xml:space="preserve">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pPr>
        <w:pStyle w:val="BodyText"/>
      </w:pPr>
      <w:r>
        <w:t xml:space="preserve"> </w:t>
      </w:r>
    </w:p>
    <w:p>
      <w:pPr>
        <w:pStyle w:val="BodyText"/>
      </w:pPr>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BodyText"/>
      </w:pPr>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BodyText"/>
      </w:pPr>
      <w:r>
        <w:t xml:space="preserve">Seasonal changes in the relationship between DOC and spectral absorbance coefficients at 254 nm (SAC</w:t>
      </w:r>
      <w:r>
        <w:rPr>
          <w:vertAlign w:val="subscript"/>
        </w:rPr>
        <w:t xml:space="preserve">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79" w:name="conclusions-and-future-directions"/>
      <w:r>
        <w:t xml:space="preserve">Conclusions and future directions</w:t>
      </w:r>
      <w:bookmarkEnd w:id="79"/>
    </w:p>
    <w:p>
      <w:pPr>
        <w:pStyle w:val="FirstParagraph"/>
      </w:pPr>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0" w:name="Xc55b7e7eb80d04b23b96f83abe7ecba51a07d0c"/>
      <w:r>
        <w:t xml:space="preserve">Assessing Watershed Characteristics and Conditions as Driving Forces for Aqueous Natural Organic Matter Dynamics Across the Leech River Watershed</w:t>
      </w:r>
      <w:bookmarkEnd w:id="80"/>
    </w:p>
    <w:p>
      <w:pPr>
        <w:pStyle w:val="FirstParagraph"/>
      </w:pPr>
      <w:r>
        <w:t xml:space="preserve"> </w:t>
      </w:r>
    </w:p>
    <w:p>
      <w:pPr>
        <w:pStyle w:val="Heading3"/>
      </w:pPr>
      <w:bookmarkStart w:id="81" w:name="synopsis"/>
      <w:r>
        <w:t xml:space="preserve">Synopsis</w:t>
      </w:r>
      <w:bookmarkEnd w:id="81"/>
    </w:p>
    <w:p>
      <w:pPr>
        <w:pStyle w:val="FirstParagraph"/>
      </w:pPr>
      <w:r>
        <w:t xml:space="preserve">The previous chapter showed that across the Greater Victoria Water Supply Area (GVWSA), NOM shifted in character from aliphatic to aromatic from the dry to wet seasons and that event-based sampled had higher DOC concentrations than non-event Grab samples. A surprising range in NOM character was observed at the West Leech sub-basin (20.85 km</w:t>
      </w:r>
      <w:r>
        <w:rPr>
          <w:vertAlign w:val="superscript"/>
        </w:rPr>
        <w:t xml:space="preserve">2</w:t>
      </w:r>
      <w:r>
        <w:t xml:space="preserve">) monitoring site in the Leech WSA. While it wasn’t clear why the ranges in NOM were greater at the West Leech Site compared to other streams of similar size (e.g.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one possibility was the difference in subsurface geology that set the West leech sub-basin apart from other synoptically sampled sites. In this chapter, watershed characteristics and conditions are evaluated to explore possible drivers for change NOM concentration and character across six monitoring sites in the Leech WSA.</w:t>
      </w:r>
    </w:p>
    <w:p>
      <w:pPr>
        <w:pStyle w:val="BodyText"/>
      </w:pPr>
      <w:r>
        <w:t xml:space="preserve"> </w:t>
      </w:r>
    </w:p>
    <w:p>
      <w:pPr>
        <w:pStyle w:val="Heading3"/>
      </w:pPr>
      <w:bookmarkStart w:id="82" w:name="methods"/>
      <w:r>
        <w:t xml:space="preserve">Methods</w:t>
      </w:r>
      <w:bookmarkEnd w:id="82"/>
    </w:p>
    <w:p>
      <w:pPr>
        <w:pStyle w:val="FirstParagraph"/>
      </w:pPr>
      <w:r>
        <w:t xml:space="preserve">Sample collection and analysis follow the methods detailed in Chapter 2. The study sites of this chapter focus only on the six Leech WSA monitoring sites (Figure</w:t>
      </w:r>
      <w:r>
        <w:t xml:space="preserve"> </w:t>
      </w:r>
      <w:r>
        <w:t xml:space="preserve">13</w:t>
      </w:r>
      <w:r>
        <w:t xml:space="preserve">). Nested catchments of the Leech River system that were equipped with Vertical Rack samplers included two headwater streams, Weeks and Chris Creek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sub-basin, below the confluence of those two headwater streams (site 3, 20.6 km</w:t>
      </w:r>
      <w:r>
        <w:rPr>
          <w:vertAlign w:val="superscript"/>
        </w:rPr>
        <w:t xml:space="preserve">2</w:t>
      </w:r>
      <w:r>
        <w:t xml:space="preserve">); two major tributaries that feed the Leech, Cragg creek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encompassed the entire Leech WSA drainage area above the point of diversion (95.3 km</w:t>
      </w:r>
      <w:r>
        <w:rPr>
          <w:vertAlign w:val="superscript"/>
        </w:rPr>
        <w:t xml:space="preserve">2</w:t>
      </w:r>
      <w:r>
        <w:t xml:space="preserve">).</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3"/>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13</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 volcanics). Like Weeks basin (site 1), which also drains from the West, WestLeech is predominantly underlain by argillite-metagreywacke (metasedimentary parent material).</w:t>
      </w:r>
    </w:p>
    <w:p>
      <w:pPr>
        <w:pStyle w:val="BodyText"/>
      </w:pPr>
      <w:r>
        <w:t xml:space="preserve"> </w:t>
      </w:r>
    </w:p>
    <w:p>
      <w:pPr>
        <w:pStyle w:val="BodyText"/>
      </w:pPr>
      <w:r>
        <w:t xml:space="preserve">Most heavily harvested over the past 31 years was the Chris crk sub-basin (63% harvested), then Leech-head and Cragg crk sub-basins (43% and 41% harvested). West Leech was the least harvested between 1980 and 2011 (26%), followed by Weeks crk sub-basin (28%) and Leech Tunnel (34%).</w:t>
      </w:r>
    </w:p>
    <w:p>
      <w:pPr>
        <w:pStyle w:val="BodyText"/>
      </w:pPr>
      <w:r>
        <w:t xml:space="preserve"> </w:t>
      </w:r>
    </w:p>
    <w:p>
      <w:pPr>
        <w:pStyle w:val="TableCaption"/>
      </w:pPr>
      <w:r>
        <w:t xml:space="preserve">Table 13: Summary of Leech Watershed Characteristics for Monitoring Site Sub-basins</w:t>
      </w:r>
    </w:p>
    <w:tbl>
      <w:tblPr>
        <w:tblStyle w:val="Table"/>
        <w:tblW w:type="pct" w:w="5000.0"/>
        <w:tblLook w:firstRow="1"/>
        <w:tblCaption w:val="Table 13: Summary of Leech Watershed Characteristics for Monitoring Site Sub-basin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t xml:space="preserve">Random Forests were used to explore the watershed characteristics included in Table</w:t>
      </w:r>
      <w:r>
        <w:t xml:space="preserve"> </w:t>
      </w:r>
      <w:r>
        <w:t xml:space="preserve">13</w:t>
      </w:r>
      <w:r>
        <w:t xml:space="preserve">, along with Leech WSA weather data (Chapter 2) and sample results (Chapter 4) to identify variables that were important predictors for DOC concentrations or NOM character. These predictors were explored as possible drivers for NOM change.</w:t>
      </w:r>
    </w:p>
    <w:p>
      <w:pPr>
        <w:pStyle w:val="BodyText"/>
      </w:pPr>
      <w:r>
        <w:t xml:space="preserve"> </w:t>
      </w:r>
    </w:p>
    <w:p>
      <w:pPr>
        <w:pStyle w:val="BodyText"/>
      </w:pPr>
      <w:r>
        <w:t xml:space="preserve">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A Random Forest is composed of a collection of decision trees is.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RF has been widely published in hydrologic and water resource research in recent years, particularly in streamflow and water quality studies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r>
        <w:t xml:space="preserve"> </w:t>
      </w:r>
      <w:r>
        <w:t xml:space="preserve">{{… refs}}</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w:t>
      </w:r>
      <w:r>
        <w:t xml:space="preserve"> </w:t>
      </w:r>
      <w:r>
        <w:t xml:space="preserve">(Breiman</w:t>
      </w:r>
      <w:r>
        <w:t xml:space="preserve"> </w:t>
      </w:r>
      <w:hyperlink w:anchor="ref-Breiman2001">
        <w:r>
          <w:rPr>
            <w:rStyle w:val="Hyperlink"/>
          </w:rPr>
          <w:t xml:space="preserve">2001</w:t>
        </w:r>
      </w:hyperlink>
      <w:r>
        <w:t xml:space="preserve">)</w:t>
      </w:r>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Heading4"/>
      </w:pPr>
      <w:bookmarkStart w:id="84" w:name="Xeb3d028e12f35a308f8bb14b0d0c905983784eb"/>
      <w:r>
        <w:t xml:space="preserve">Random Forests predictor variable refinement</w:t>
      </w:r>
      <w:bookmarkEnd w:id="84"/>
    </w:p>
    <w:p>
      <w:pPr>
        <w:pStyle w:val="FirstParagraph"/>
      </w:pPr>
      <w:r>
        <w:t xml:space="preserve">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13</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w:t>
      </w:r>
    </w:p>
    <w:p>
      <w:pPr>
        <w:pStyle w:val="BodyText"/>
      </w:pPr>
      <w:r>
        <w:t xml:space="preserve"> </w:t>
      </w:r>
    </w:p>
    <w:p>
      <w:pPr>
        <w:pStyle w:val="BodyText"/>
      </w:pPr>
      <w:r>
        <w:t xml:space="preserve">Parameters were filtered to avoid spurious predictions,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Interestingly, the sub-basin percent of Leech River formation parent material (meta-sedimentary, including argillite-metagreywacke (mudstone) and metagreywacke (meta-sandstone)) was correlated (-0.83) with logging history (percent of basin harvested 1980-2011). Anecdotally, the Leech River formation underlies the Weeks and West Leech sub-basins, areas that contained some of the last parcels of land purchased by the CRD from sustained harvest forest management companies. Parent-material variables were refined to metamorphic (wark-gneiss) and igneous (Metchosin volcanics), which did not show cross-correlation to other predictor variables.</w:t>
      </w:r>
    </w:p>
    <w:p>
      <w:pPr>
        <w:pStyle w:val="BodyText"/>
      </w:pPr>
      <w:r>
        <w:t xml:space="preserve"> </w:t>
      </w:r>
    </w:p>
    <w:p>
      <w:pPr>
        <w:pStyle w:val="BodyText"/>
      </w:pPr>
      <w:r>
        <w:t xml:space="preserve">The nine selected predictor variables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median basin slope (degrees)</w:t>
      </w:r>
    </w:p>
    <w:p>
      <w:pPr>
        <w:pStyle w:val="Compact"/>
        <w:numPr>
          <w:numId w:val="1002"/>
          <w:ilvl w:val="0"/>
        </w:numPr>
      </w:pPr>
      <w:r>
        <w:t xml:space="preserve">tree age (average, years)</w:t>
      </w:r>
    </w:p>
    <w:p>
      <w:pPr>
        <w:pStyle w:val="Compact"/>
        <w:numPr>
          <w:numId w:val="1002"/>
          <w:ilvl w:val="0"/>
        </w:numPr>
      </w:pPr>
      <w:r>
        <w:t xml:space="preserve">logging history (harvested 1980-2011, percent of basin)</w:t>
      </w:r>
    </w:p>
    <w:p>
      <w:pPr>
        <w:pStyle w:val="Compact"/>
        <w:numPr>
          <w:numId w:val="1002"/>
          <w:ilvl w:val="0"/>
        </w:numPr>
      </w:pPr>
      <w:r>
        <w:t xml:space="preserve">antecedent 7-day air temperatures (°C)</w:t>
      </w:r>
    </w:p>
    <w:p>
      <w:pPr>
        <w:pStyle w:val="Compact"/>
        <w:numPr>
          <w:numId w:val="1002"/>
          <w:ilvl w:val="0"/>
        </w:numPr>
      </w:pPr>
      <w:r>
        <w:t xml:space="preserve">antecedent 30-day rain (mm, total)</w:t>
      </w:r>
    </w:p>
    <w:p>
      <w:pPr>
        <w:pStyle w:val="Compact"/>
        <w:numPr>
          <w:numId w:val="1002"/>
          <w:ilvl w:val="0"/>
        </w:numPr>
      </w:pPr>
      <w:r>
        <w:t xml:space="preserve">sampling stage (min-max-normalized to account for differences between site installations)</w:t>
      </w:r>
    </w:p>
    <w:p>
      <w:pPr>
        <w:pStyle w:val="FirstParagraph"/>
      </w:pPr>
      <w:r>
        <w:t xml:space="preserve"> </w:t>
      </w:r>
    </w:p>
    <w:p>
      <w:pPr>
        <w:pStyle w:val="BodyText"/>
      </w:pPr>
      <w:r>
        <w:t xml:space="preserve">A 30-day interval was selected for antecedent rain because (1) it was not cross-correlated with antecedent 7-day temperature and (2) it was easier to distinguish from other predictor variables than shorter and longer intervals (e.g. ), and (3) a month of rain should be sufficient to consider as an indicator of antecedent landscape wetness in general (whereas shorter periods may have been lost to interception, evaporation, or evapotranspiration).</w:t>
      </w:r>
    </w:p>
    <w:p>
      <w:pPr>
        <w:pStyle w:val="BodyText"/>
      </w:pPr>
      <w:r>
        <w:t xml:space="preserve"> </w:t>
      </w:r>
    </w:p>
    <w:p>
      <w:pPr>
        <w:pStyle w:val="BodyText"/>
      </w:pPr>
      <w:r>
        <w:t xml:space="preserve">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p>
    <w:p>
      <w:pPr>
        <w:pStyle w:val="BodyText"/>
      </w:pPr>
      <w:r>
        <w:t xml:space="preserve"> </w:t>
      </w:r>
    </w:p>
    <w:p>
      <w:pPr>
        <w:pStyle w:val="BodyText"/>
      </w:pPr>
      <w:r>
        <w:t xml:space="preserve">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four watershed variables with relatively greatest predictor importance were further explored by evaluating their relationships with NOM concentration and character.</w:t>
      </w:r>
    </w:p>
    <w:p>
      <w:pPr>
        <w:pStyle w:val="BodyText"/>
      </w:pPr>
      <w:r>
        <w:t xml:space="preserve"> </w:t>
      </w:r>
    </w:p>
    <w:p>
      <w:pPr>
        <w:pStyle w:val="Heading4"/>
      </w:pPr>
      <w:bookmarkStart w:id="85" w:name="evaluating-local-extrema"/>
      <w:r>
        <w:t xml:space="preserve">Evaluating local extrema</w:t>
      </w:r>
      <w:bookmarkEnd w:id="85"/>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86" w:name="results-of-variable-importance-measure"/>
      <w:r>
        <w:t xml:space="preserve">Results of variable importance measure</w:t>
      </w:r>
      <w:bookmarkEnd w:id="86"/>
    </w:p>
    <w:p>
      <w:pPr>
        <w:pStyle w:val="FirstParagraph"/>
      </w:pPr>
      <w:r>
        <w:t xml:space="preserve">The RF variable importance measure showed that DOC and SAC</w:t>
      </w:r>
      <w:r>
        <w:rPr>
          <w:vertAlign w:val="subscript"/>
        </w:rPr>
        <w:t xml:space="preserve">254</w:t>
      </w:r>
      <w:r>
        <w:t xml:space="preserve"> </w:t>
      </w:r>
      <w:r>
        <w:t xml:space="preserve">were predicted by wet and warm conditions, while E</w:t>
      </w:r>
      <w:r>
        <w:rPr>
          <w:vertAlign w:val="subscript"/>
        </w:rPr>
        <w:t xml:space="preserve">2</w:t>
      </w:r>
      <w:r>
        <w:t xml:space="preserve">:E</w:t>
      </w:r>
      <w:r>
        <w:rPr>
          <w:vertAlign w:val="subscript"/>
        </w:rPr>
        <w:t xml:space="preserve">3</w:t>
      </w:r>
      <w:r>
        <w:t xml:space="preserve"> </w:t>
      </w:r>
      <w:r>
        <w:t xml:space="preserve">wasn’t as impacted by 7-day antecedent temperature but was sensitive to rain and sampling stage.</w:t>
      </w:r>
    </w:p>
    <w:p>
      <w:pPr>
        <w:pStyle w:val="BodyText"/>
      </w:pPr>
      <w:r>
        <w:t xml:space="preserve">For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Igneous parent material was the least important for all three predictants.</w:t>
      </w:r>
    </w:p>
    <w:p>
      <w:pPr>
        <w:pStyle w:val="BodyText"/>
      </w:pPr>
      <w:r>
        <w:t xml:space="preserve">Slope was relatively more important for concentration than it was for character of NOM and sampling stage was more important to character than concentration.</w:t>
      </w:r>
    </w:p>
    <w:p>
      <w:pPr>
        <w:pStyle w:val="BodyText"/>
      </w:pPr>
      <w:r>
        <w:t xml:space="preserve">Tree age and logging history were quite poor for predicting both DOC concentration and SAC</w:t>
      </w:r>
      <w:r>
        <w:rPr>
          <w:vertAlign w:val="subscript"/>
        </w:rPr>
        <w:t xml:space="preserve">254</w:t>
      </w:r>
      <w:r>
        <w:t xml:space="preserve">, and more important for E</w:t>
      </w:r>
      <w:r>
        <w:rPr>
          <w:vertAlign w:val="subscript"/>
        </w:rPr>
        <w:t xml:space="preserve">2</w:t>
      </w:r>
      <w:r>
        <w:t xml:space="preserve">:E</w:t>
      </w:r>
      <w:r>
        <w:rPr>
          <w:vertAlign w:val="subscript"/>
        </w:rPr>
        <w:t xml:space="preserve">3</w:t>
      </w:r>
      <w:r>
        <w:t xml:space="preserve">.</w:t>
      </w:r>
    </w:p>
    <w:p>
      <w:pPr>
        <w:pStyle w:val="BodyText"/>
      </w:pPr>
      <w:r>
        <w:t xml:space="preserve">Drainage area was not found to be particularly important for any of the three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87"/>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88" w:name="X1c0fdbc26234d467410dcb50e02a405f4948b31"/>
      <w:r>
        <w:t xml:space="preserve">Evaluating rain events with NOM concentration and character</w:t>
      </w:r>
      <w:bookmarkEnd w:id="88"/>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14</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14</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14</w:t>
      </w:r>
      <w:r>
        <w:t xml:space="preserve">).</w:t>
      </w:r>
    </w:p>
    <w:p>
      <w:pPr>
        <w:pStyle w:val="BodyText"/>
      </w:pPr>
      <w:r>
        <w:t xml:space="preserve"> </w:t>
      </w:r>
    </w:p>
    <w:p>
      <w:pPr>
        <w:pStyle w:val="TableCaption"/>
      </w:pPr>
      <w:r>
        <w:t xml:space="preserve">Table 14: Rain Events (Threshold of 50 mm and 14-hour Inter-event Period) Defined by Vertical Rack Sample Collection Across the Six monitoring Sites of the Leech WSA</w:t>
      </w:r>
    </w:p>
    <w:tbl>
      <w:tblPr>
        <w:tblStyle w:val="Table"/>
        <w:tblW w:type="pct" w:w="5000.0"/>
        <w:tblLook w:firstRow="1"/>
        <w:tblCaption w:val="Table 14: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15</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15: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8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90" w:name="Xda7c554d98d650777bb9b10b0e50d18651a158d"/>
      <w:r>
        <w:t xml:space="preserve">Rising stage and NOM dynamics across the LWSA</w:t>
      </w:r>
      <w:bookmarkEnd w:id="90"/>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15</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15: Summary of Stream Response to Rain Events Across Six Monitoring sites in the Leech Water Supply Area.</w:t>
      </w:r>
    </w:p>
    <w:tbl>
      <w:tblPr>
        <w:tblStyle w:val="Table"/>
        <w:tblW w:type="pct" w:w="5000.0"/>
        <w:tblLook w:firstRow="1"/>
        <w:tblCaption w:val="Table 15: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16</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16: Proportion of Samples for Which Peak Dissolved Organic Carbon (DOC) was Collected at the Highest Sample Stage.</w:t>
      </w:r>
    </w:p>
    <w:tbl>
      <w:tblPr>
        <w:tblStyle w:val="Table"/>
        <w:tblW w:type="pct" w:w="0.0"/>
        <w:tblLook w:firstRow="1"/>
        <w:tblCaption w:val="Table 16: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16</w:t>
      </w:r>
      <w:r>
        <w:t xml:space="preserve">).</w:t>
      </w:r>
    </w:p>
    <w:p>
      <w:pPr>
        <w:pStyle w:val="BodyText"/>
      </w:pPr>
      <w:r>
        <w:t xml:space="preserve"> </w:t>
      </w:r>
    </w:p>
    <w:p>
      <w:pPr>
        <w:pStyle w:val="CaptionedFigure"/>
      </w:pPr>
      <w:r>
        <w:drawing>
          <wp:inline>
            <wp:extent cx="5943600" cy="6339839"/>
            <wp:effectExtent b="0" l="0" r="0" t="0"/>
            <wp:docPr descr="Figure 16: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1"/>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17</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17: Summary of DOC Changes Within Stormflow Response to Precipitation Events Across the Leech WSA (Samples from Wet Season Only).</w:t>
      </w:r>
    </w:p>
    <w:tbl>
      <w:tblPr>
        <w:tblStyle w:val="Table"/>
        <w:tblW w:type="pct" w:w="5000.0"/>
        <w:tblLook w:firstRow="1"/>
        <w:tblCaption w:val="Table 17: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17</w:t>
      </w:r>
      <w:r>
        <w:t xml:space="preserve">).</w:t>
      </w:r>
    </w:p>
    <w:p>
      <w:pPr>
        <w:pStyle w:val="BodyText"/>
      </w:pPr>
      <w:r>
        <w:t xml:space="preserve"> </w:t>
      </w:r>
    </w:p>
    <w:p>
      <w:pPr>
        <w:pStyle w:val="CaptionedFigure"/>
      </w:pPr>
      <w:r>
        <w:drawing>
          <wp:inline>
            <wp:extent cx="5504749" cy="6880936"/>
            <wp:effectExtent b="0" l="0" r="0" t="0"/>
            <wp:docPr descr="Figure 17: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92"/>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93" w:name="predicting-doc"/>
      <w:r>
        <w:t xml:space="preserve">Predicting DOC</w:t>
      </w:r>
      <w:bookmarkEnd w:id="93"/>
    </w:p>
    <w:p>
      <w:pPr>
        <w:pStyle w:val="FirstParagraph"/>
      </w:pPr>
      <w:r>
        <w:t xml:space="preserve">Antecedent 7-day air temperature was calculated to have the greatest relative importance in predicting DOC concentrations. Upon closer inspection, DOC and 7-day temperature were positively related in the wet season with no obvious relationship in the dry season (Figure</w:t>
      </w:r>
      <w:r>
        <w:t xml:space="preserve"> </w:t>
      </w:r>
      <w:r>
        <w:t xml:space="preserve">18</w:t>
      </w:r>
      <w:r>
        <w:t xml:space="preserve">).</w:t>
      </w:r>
    </w:p>
    <w:p>
      <w:pPr>
        <w:pStyle w:val="BodyText"/>
      </w:pPr>
      <w:r>
        <w:t xml:space="preserve"> </w:t>
      </w:r>
    </w:p>
    <w:p>
      <w:pPr>
        <w:pStyle w:val="CaptionedFigure"/>
      </w:pPr>
      <w:r>
        <w:drawing>
          <wp:inline>
            <wp:extent cx="3669832" cy="3669832"/>
            <wp:effectExtent b="0" l="0" r="0" t="0"/>
            <wp:docPr descr="Figure 18:  Antecedent 7-day air temperature as a predictor variable for concentrations of dissolved organic carbon in the wet and dry seasons of the Leech Water Supply Area (including loess trend line)"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9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variable for concentrations of dissolved organic carbon in the wet and dry seasons of the Leech Water Supply Area (including loess trend line)</w:t>
      </w:r>
    </w:p>
    <w:p>
      <w:pPr>
        <w:pStyle w:val="BodyText"/>
      </w:pPr>
      <w:r>
        <w:t xml:space="preserve"> </w:t>
      </w:r>
    </w:p>
    <w:p>
      <w:pPr>
        <w:pStyle w:val="BodyText"/>
      </w:pPr>
      <w:r>
        <w:t xml:space="preserve">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w:t>
      </w:r>
      <w:r>
        <w:t xml:space="preserve"> </w:t>
      </w:r>
      <w:r>
        <w:t xml:space="preserve">19</w:t>
      </w:r>
      <w:r>
        <w:t xml:space="preserve">). Lower order streams (Weeks, Chris, Leech-head) showed a steeper decline in DOC with increasing 30-day antecedent rain.</w:t>
      </w:r>
    </w:p>
    <w:p>
      <w:pPr>
        <w:pStyle w:val="BodyText"/>
      </w:pPr>
      <w:r>
        <w:t xml:space="preserve"> </w:t>
      </w:r>
    </w:p>
    <w:p>
      <w:pPr>
        <w:pStyle w:val="CaptionedFigure"/>
      </w:pPr>
      <w:r>
        <w:drawing>
          <wp:inline>
            <wp:extent cx="3669832" cy="3669832"/>
            <wp:effectExtent b="0" l="0" r="0" t="0"/>
            <wp:docPr descr="Figure 19:  Antecedent 30-day rain as a predictor variable for concentrations of dissolved organic carbon at six sites across the Leech Water Supply Area (including loess trend line)."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variable for concentrations of dissolved organic carbon at six sites across the Leech Water Supply Area (including loess trend line).</w:t>
      </w:r>
    </w:p>
    <w:p>
      <w:pPr>
        <w:pStyle w:val="BodyText"/>
      </w:pPr>
      <w:r>
        <w:t xml:space="preserve"> </w:t>
      </w:r>
    </w:p>
    <w:p>
      <w:pPr>
        <w:pStyle w:val="BodyText"/>
      </w:pPr>
      <w:r>
        <w:t xml:space="preserve">Sub-basin slope ranked third in importance as a predictor for DOC. The relationship between slope and DOC across the six monitoring sites was not linear, but in general lower slope was related to higher DOC (Figure</w:t>
      </w:r>
      <w:r>
        <w:t xml:space="preserve"> </w:t>
      </w:r>
      <w:r>
        <w:t xml:space="preserve">21</w:t>
      </w:r>
      <w:r>
        <w:t xml:space="preserve">). Slope was also negatively correlated to percent wetland, which is known to be linked with high DOC concentrations.</w:t>
      </w:r>
    </w:p>
    <w:p>
      <w:pPr>
        <w:pStyle w:val="BodyText"/>
      </w:pPr>
      <w:r>
        <w:t xml:space="preserve"> </w:t>
      </w:r>
    </w:p>
    <w:p>
      <w:pPr>
        <w:pStyle w:val="CaptionedFigure"/>
      </w:pPr>
      <w:r>
        <w:drawing>
          <wp:inline>
            <wp:extent cx="3669832" cy="3669832"/>
            <wp:effectExtent b="0" l="0" r="0" t="0"/>
            <wp:docPr descr="Figure 20:  : Median basin slope as a predictor variable for concentrations of dissolved organic carbon in the Leech Water Supply Area" title="" id="1" name="Picture"/>
            <a:graphic>
              <a:graphicData uri="http://schemas.openxmlformats.org/drawingml/2006/picture">
                <pic:pic>
                  <pic:nvPicPr>
                    <pic:cNvPr descr="R-outputs_UBC-forWater-MSc_HMc/figures/Ch4_RF_DOC-predictor-3-slope.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 Median basin slope as a predictor variable for concentrations of dissolved organic carbon in the Leech Water Supply Area</w:t>
      </w:r>
    </w:p>
    <w:p>
      <w:pPr>
        <w:pStyle w:val="BodyText"/>
      </w:pPr>
      <w:r>
        <w:t xml:space="preserve"> </w:t>
      </w:r>
    </w:p>
    <w:p>
      <w:pPr>
        <w:pStyle w:val="BodyText"/>
      </w:pPr>
      <w:r>
        <w:t xml:space="preserve">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w:t>
      </w:r>
      <w:r>
        <w:t xml:space="preserve"> </w:t>
      </w:r>
      <w:r>
        <w:t xml:space="preserve">20</w:t>
      </w:r>
      <w:r>
        <w:t xml:space="preserve">).</w:t>
      </w:r>
    </w:p>
    <w:p>
      <w:pPr>
        <w:pStyle w:val="BodyText"/>
      </w:pPr>
      <w:r>
        <w:t xml:space="preserve"> </w:t>
      </w:r>
    </w:p>
    <w:p>
      <w:pPr>
        <w:pStyle w:val="CaptionedFigure"/>
      </w:pPr>
      <w:r>
        <w:drawing>
          <wp:inline>
            <wp:extent cx="3669832" cy="3669832"/>
            <wp:effectExtent b="0" l="0" r="0" t="0"/>
            <wp:docPr descr="Figure 21:  Metamorphic parent material (Wark-Gneiss) as a predictor variable for concentrations of dissolved organic carbon (DOC) in the Leech Water Supply Area" title="" id="1" name="Picture"/>
            <a:graphic>
              <a:graphicData uri="http://schemas.openxmlformats.org/drawingml/2006/picture">
                <pic:pic>
                  <pic:nvPicPr>
                    <pic:cNvPr descr="R-outputs_UBC-forWater-MSc_HMc/figures/Ch4_RF_DOC-predictor-4-gneiss.png" id="0" name="Picture"/>
                    <pic:cNvPicPr>
                      <a:picLocks noChangeArrowheads="1" noChangeAspect="1"/>
                    </pic:cNvPicPr>
                  </pic:nvPicPr>
                  <pic:blipFill>
                    <a:blip r:embed="rId9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Metamorphic parent material (Wark-Gneiss) as a predictor variable for concentrations of dissolved organic carbon (DOC) in the Leech Water Supply Area</w:t>
      </w:r>
    </w:p>
    <w:p>
      <w:pPr>
        <w:pStyle w:val="BodyText"/>
      </w:pPr>
      <w:r>
        <w:t xml:space="preserve"> </w:t>
      </w:r>
    </w:p>
    <w:p>
      <w:pPr>
        <w:pStyle w:val="Heading4"/>
      </w:pPr>
      <w:bookmarkStart w:id="98" w:name="predicting-sac254"/>
      <w:r>
        <w:t xml:space="preserve">Predicting SAC</w:t>
      </w:r>
      <w:r>
        <w:rPr>
          <w:vertAlign w:val="subscript"/>
        </w:rPr>
        <w:t xml:space="preserve">254</w:t>
      </w:r>
      <w:bookmarkEnd w:id="98"/>
    </w:p>
    <w:p>
      <w:pPr>
        <w:pStyle w:val="FirstParagraph"/>
      </w:pPr>
      <w:r>
        <w:t xml:space="preserve"> </w:t>
      </w:r>
    </w:p>
    <w:p>
      <w:pPr>
        <w:pStyle w:val="BodyText"/>
      </w:pPr>
      <w:r>
        <w:t xml:space="preserve">Stream stage at sample collection was the most important variable to predict SAC</w:t>
      </w:r>
      <w:r>
        <w:rPr>
          <w:vertAlign w:val="subscript"/>
        </w:rPr>
        <w:t xml:space="preserve">254</w:t>
      </w:r>
      <w:r>
        <w:t xml:space="preserve">. Up to approximately 75% of maximum sampling stage at each site, SAC</w:t>
      </w:r>
      <w:r>
        <w:rPr>
          <w:vertAlign w:val="subscript"/>
        </w:rPr>
        <w:t xml:space="preserve">254</w:t>
      </w:r>
      <w:r>
        <w:t xml:space="preserve"> </w:t>
      </w:r>
      <w:r>
        <w:t xml:space="preserve">increased with increasing sampling stage and then dropped off (Figure</w:t>
      </w:r>
      <w:r>
        <w:t xml:space="preserve"> </w:t>
      </w:r>
      <w:r>
        <w:t xml:space="preserve">22</w:t>
      </w:r>
      <w:r>
        <w:t xml:space="preserve">). This indicates that as stream levels increased, so too did NOM aromaticity. The threshold level (3/4 of max stage) could suggest a point at which aromatic NOM sources were depleted.</w:t>
      </w:r>
    </w:p>
    <w:p>
      <w:pPr>
        <w:pStyle w:val="BodyText"/>
      </w:pPr>
      <w:r>
        <w:t xml:space="preserve"> </w:t>
      </w:r>
    </w:p>
    <w:p>
      <w:pPr>
        <w:pStyle w:val="CaptionedFigure"/>
      </w:pPr>
      <w:r>
        <w:drawing>
          <wp:inline>
            <wp:extent cx="3669832" cy="3669832"/>
            <wp:effectExtent b="0" l="0" r="0" t="0"/>
            <wp:docPr descr="Figure 22:  Sampling stage as a predictor variable for SAC254 in the Leech Water Supply Area (including loess trend line)"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Sampling stage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The second ranking predictor variable for SAC</w:t>
      </w:r>
      <w:r>
        <w:rPr>
          <w:vertAlign w:val="subscript"/>
        </w:rPr>
        <w:t xml:space="preserve">254</w:t>
      </w:r>
      <w:r>
        <w:t xml:space="preserve"> </w:t>
      </w:r>
      <w:r>
        <w:t xml:space="preserve">was antecedent 7-day air temperature… which is a bit difficult to interpret… more to come, or possibly this will be moved to the appendix and left out of this section… (Figure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Antecedent 7-day air temperature as a predictor variable for SAC254 in the Leech Water Supply Area (including loess trend line)"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10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Antecedent 7-day air temperature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Antecedent 30-day rain was ranked third most important for predicting SAC</w:t>
      </w:r>
      <w:r>
        <w:rPr>
          <w:vertAlign w:val="subscript"/>
        </w:rPr>
        <w:t xml:space="preserve">254</w:t>
      </w:r>
      <w:r>
        <w:t xml:space="preserve">, and, although there were missing values for SAC</w:t>
      </w:r>
      <w:r>
        <w:rPr>
          <w:vertAlign w:val="subscript"/>
        </w:rPr>
        <w:t xml:space="preserve">254</w:t>
      </w:r>
      <w:r>
        <w:t xml:space="preserve"> </w:t>
      </w:r>
      <w:r>
        <w:t xml:space="preserve">where DOC had data, the pattern was similar to that of DOC and 30-day antecedent rain. Rain accumulation in the 30 days prior to sample collection was positively related to SAC</w:t>
      </w:r>
      <w:r>
        <w:rPr>
          <w:vertAlign w:val="subscript"/>
        </w:rPr>
        <w:t xml:space="preserve">254</w:t>
      </w:r>
      <w:r>
        <w:t xml:space="preserve"> </w:t>
      </w:r>
      <w:r>
        <w:t xml:space="preserve">up to approximately 150 mm; SAC</w:t>
      </w:r>
      <w:r>
        <w:rPr>
          <w:vertAlign w:val="subscript"/>
        </w:rPr>
        <w:t xml:space="preserve">254</w:t>
      </w:r>
      <w:r>
        <w:t xml:space="preserve"> </w:t>
      </w:r>
      <w:r>
        <w:t xml:space="preserve">was relatively low with antecedent 30-day rain above 400 mm (Figure</w:t>
      </w:r>
      <w:r>
        <w:t xml:space="preserve"> </w:t>
      </w:r>
      <w:r>
        <w:t xml:space="preserve">24</w:t>
      </w:r>
      <w:r>
        <w:t xml:space="preserve">).</w:t>
      </w:r>
    </w:p>
    <w:p>
      <w:pPr>
        <w:pStyle w:val="BodyText"/>
      </w:pPr>
      <w:r>
        <w:t xml:space="preserve"> </w:t>
      </w:r>
    </w:p>
    <w:p>
      <w:pPr>
        <w:pStyle w:val="CaptionedFigure"/>
      </w:pPr>
      <w:r>
        <w:drawing>
          <wp:inline>
            <wp:extent cx="3669832" cy="3669832"/>
            <wp:effectExtent b="0" l="0" r="0" t="0"/>
            <wp:docPr descr="Figure 24:  Antecedent 30-day rain as a predictor variable for of SAC254 in the Leech Water Supply Area (including loess trend line with uncertainty shaded in grey)"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Antecedent 30-day rain as a predictor variable for of SAC</w:t>
      </w:r>
      <w:r>
        <w:rPr>
          <w:vertAlign w:val="subscript"/>
        </w:rPr>
        <w:t xml:space="preserve">254</w:t>
      </w:r>
      <w:r>
        <w:t xml:space="preserve"> </w:t>
      </w:r>
      <w:r>
        <w:t xml:space="preserve">in the Leech Water Supply Area (including loess trend line with uncertainty shaded in grey)</w:t>
      </w:r>
    </w:p>
    <w:p>
      <w:pPr>
        <w:pStyle w:val="BodyText"/>
      </w:pPr>
      <w:r>
        <w:t xml:space="preserve"> </w:t>
      </w:r>
    </w:p>
    <w:p>
      <w:pPr>
        <w:pStyle w:val="BodyText"/>
      </w:pPr>
      <w:r>
        <w:t xml:space="preserve">Ranking fourth for predicting SAC</w:t>
      </w:r>
      <w:r>
        <w:rPr>
          <w:vertAlign w:val="subscript"/>
        </w:rPr>
        <w:t xml:space="preserve">254</w:t>
      </w:r>
      <w:r>
        <w:t xml:space="preserve"> </w:t>
      </w:r>
      <w:r>
        <w:t xml:space="preserve">was metamorphic parent material. Like DOC, greater metamorphic parent material corresponded with lower SAC</w:t>
      </w:r>
      <w:r>
        <w:rPr>
          <w:vertAlign w:val="subscript"/>
        </w:rPr>
        <w:t xml:space="preserve">254</w:t>
      </w:r>
      <w:r>
        <w:t xml:space="preserve"> </w:t>
      </w:r>
      <w:r>
        <w:t xml:space="preserve">values, but the absence of wark-gneiss did not correspond to the sub-basin with the highest SAC</w:t>
      </w:r>
      <w:r>
        <w:rPr>
          <w:vertAlign w:val="subscript"/>
        </w:rPr>
        <w:t xml:space="preserve">254</w:t>
      </w:r>
      <w:r>
        <w:t xml:space="preserve"> </w:t>
      </w:r>
      <w:r>
        <w:t xml:space="preserve">(Figure</w:t>
      </w:r>
      <w:r>
        <w:t xml:space="preserve"> </w:t>
      </w:r>
      <w:r>
        <w:t xml:space="preserve">25</w:t>
      </w:r>
      <w:r>
        <w:t xml:space="preserve">).</w:t>
      </w:r>
    </w:p>
    <w:p>
      <w:pPr>
        <w:pStyle w:val="BodyText"/>
      </w:pPr>
      <w:r>
        <w:t xml:space="preserve"> </w:t>
      </w:r>
    </w:p>
    <w:p>
      <w:pPr>
        <w:pStyle w:val="CaptionedFigure"/>
      </w:pPr>
      <w:r>
        <w:drawing>
          <wp:inline>
            <wp:extent cx="3669832" cy="3669832"/>
            <wp:effectExtent b="0" l="0" r="0" t="0"/>
            <wp:docPr descr="Figure 25:  Metamorphic parent material (Wark-Gneiss) as a predictor variable of SAC254 in the Leech Water Supply Area"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10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Metamorphic parent material (Wark-Gneiss) as a predictor variable of SAC</w:t>
      </w:r>
      <w:r>
        <w:rPr>
          <w:vertAlign w:val="subscript"/>
        </w:rPr>
        <w:t xml:space="preserve">254</w:t>
      </w:r>
      <w:r>
        <w:t xml:space="preserve"> </w:t>
      </w:r>
      <w:r>
        <w:t xml:space="preserve">in the Leech Water Supply Area</w:t>
      </w:r>
    </w:p>
    <w:p>
      <w:pPr>
        <w:pStyle w:val="BodyText"/>
      </w:pPr>
      <w:r>
        <w:t xml:space="preserve"> </w:t>
      </w:r>
    </w:p>
    <w:p>
      <w:pPr>
        <w:pStyle w:val="BodyText"/>
      </w:pPr>
      <w:r>
        <w:t xml:space="preserve"> </w:t>
      </w:r>
    </w:p>
    <w:p>
      <w:pPr>
        <w:pStyle w:val="Heading4"/>
      </w:pPr>
      <w:bookmarkStart w:id="103" w:name="predicting-e2e3"/>
      <w:r>
        <w:t xml:space="preserve">Predicting E</w:t>
      </w:r>
      <w:r>
        <w:rPr>
          <w:vertAlign w:val="subscript"/>
        </w:rPr>
        <w:t xml:space="preserve">2</w:t>
      </w:r>
      <w:r>
        <w:t xml:space="preserve">:E</w:t>
      </w:r>
      <w:r>
        <w:rPr>
          <w:vertAlign w:val="subscript"/>
        </w:rPr>
        <w:t xml:space="preserve">3</w:t>
      </w:r>
      <w:bookmarkEnd w:id="103"/>
    </w:p>
    <w:p>
      <w:pPr>
        <w:pStyle w:val="FirstParagraph"/>
      </w:pPr>
      <w:r>
        <w:t xml:space="preserve"> </w:t>
      </w:r>
    </w:p>
    <w:p>
      <w:pPr>
        <w:pStyle w:val="BodyText"/>
      </w:pPr>
      <w:r>
        <w:t xml:space="preserve">As a predictor for E</w:t>
      </w:r>
      <w:r>
        <w:rPr>
          <w:vertAlign w:val="subscript"/>
        </w:rPr>
        <w:t xml:space="preserve">2</w:t>
      </w:r>
      <w:r>
        <w:t xml:space="preserve">:E</w:t>
      </w:r>
      <w:r>
        <w:rPr>
          <w:vertAlign w:val="subscript"/>
        </w:rPr>
        <w:t xml:space="preserve">3</w:t>
      </w:r>
      <w:r>
        <w:t xml:space="preserve">, antecedent 30-day rain was ranked most important. Similar to the patterns seen with DOC and SAC</w:t>
      </w:r>
      <w:r>
        <w:rPr>
          <w:vertAlign w:val="subscript"/>
        </w:rPr>
        <w:t xml:space="preserve">254</w:t>
      </w:r>
      <w:r>
        <w:t xml:space="preserve">, there was an initial positive relationship up to approximately 150 mm of antecedent 30-day rain, then E</w:t>
      </w:r>
      <w:r>
        <w:rPr>
          <w:vertAlign w:val="subscript"/>
        </w:rPr>
        <w:t xml:space="preserve">2</w:t>
      </w:r>
      <w:r>
        <w:t xml:space="preserve">:E</w:t>
      </w:r>
      <w:r>
        <w:rPr>
          <w:vertAlign w:val="subscript"/>
        </w:rPr>
        <w:t xml:space="preserve">3</w:t>
      </w:r>
      <w:r>
        <w:t xml:space="preserve"> </w:t>
      </w:r>
      <w:r>
        <w:t xml:space="preserve">decreased until antecedent 30-day rain reached around 300 mm at which point E</w:t>
      </w:r>
      <w:r>
        <w:rPr>
          <w:vertAlign w:val="subscript"/>
        </w:rPr>
        <w:t xml:space="preserve">2</w:t>
      </w:r>
      <w:r>
        <w:t xml:space="preserve">:E</w:t>
      </w:r>
      <w:r>
        <w:rPr>
          <w:vertAlign w:val="subscript"/>
        </w:rPr>
        <w:t xml:space="preserve">3</w:t>
      </w:r>
      <w:r>
        <w:t xml:space="preserve"> </w:t>
      </w:r>
      <w:r>
        <w:t xml:space="preserve">more or less plateaued (Figure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Antecedent 30-day rain as a predictor variable for of E2:E3 in the Leech Water Supply Area (including loess trend line)"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10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Antecedent 30-day rain as a predictor variable for of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The second most important predictor was sampling stage which was inversely related to E</w:t>
      </w:r>
      <w:r>
        <w:rPr>
          <w:vertAlign w:val="subscript"/>
        </w:rPr>
        <w:t xml:space="preserve">2</w:t>
      </w:r>
      <w:r>
        <w:t xml:space="preserve">:E</w:t>
      </w:r>
      <w:r>
        <w:rPr>
          <w:vertAlign w:val="subscript"/>
        </w:rPr>
        <w:t xml:space="preserve">3</w:t>
      </w:r>
      <w:r>
        <w:t xml:space="preserve"> </w:t>
      </w:r>
      <w:r>
        <w:t xml:space="preserve">(Figure</w:t>
      </w:r>
      <w:r>
        <w:t xml:space="preserve"> </w:t>
      </w:r>
      <w:r>
        <w:t xml:space="preserve">27</w:t>
      </w:r>
      <w:r>
        <w:t xml:space="preserve">). This shows that as stream stage increased across the Leech WSA, so too did aromaticity and/or NOM molecular size.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pPr>
        <w:pStyle w:val="BodyText"/>
      </w:pPr>
      <w:r>
        <w:t xml:space="preserve"> </w:t>
      </w:r>
    </w:p>
    <w:p>
      <w:pPr>
        <w:pStyle w:val="CaptionedFigure"/>
      </w:pPr>
      <w:r>
        <w:drawing>
          <wp:inline>
            <wp:extent cx="3669832" cy="3669832"/>
            <wp:effectExtent b="0" l="0" r="0" t="0"/>
            <wp:docPr descr="Figure 27:  Sampling stage as a predictor variable for E2:E3 in the Leech Water Supply Area (including loess trend line)"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Sampling stage as a predictor variable for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28</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8: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06"/>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29</w:t>
      </w:r>
      <w:r>
        <w:t xml:space="preserve">).</w:t>
      </w:r>
    </w:p>
    <w:p>
      <w:pPr>
        <w:pStyle w:val="BodyText"/>
      </w:pPr>
      <w:r>
        <w:t xml:space="preserve"> </w:t>
      </w:r>
    </w:p>
    <w:p>
      <w:pPr>
        <w:pStyle w:val="CaptionedFigure"/>
      </w:pPr>
      <w:r>
        <w:drawing>
          <wp:inline>
            <wp:extent cx="3669832" cy="3669832"/>
            <wp:effectExtent b="0" l="0" r="0" t="0"/>
            <wp:docPr descr="Figure 29: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3"/>
      </w:pPr>
      <w:bookmarkStart w:id="108" w:name="discussion"/>
      <w:r>
        <w:t xml:space="preserve">Discussion</w:t>
      </w:r>
      <w:bookmarkEnd w:id="108"/>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FirstParagraph"/>
      </w:pPr>
      <w:r>
        <w:t xml:space="preserve"> </w:t>
      </w:r>
    </w:p>
    <w:p>
      <w:pPr>
        <w:pStyle w:val="SourceCode"/>
      </w:pPr>
    </w:p>
    <w:p>
      <w:pPr>
        <w:pStyle w:val="FirstParagraph"/>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5"/>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09" w:name="conclusions"/>
      <w:r>
        <w:t xml:space="preserve">Conclusions</w:t>
      </w:r>
      <w:bookmarkEnd w:id="109"/>
    </w:p>
    <w:p>
      <w:pPr>
        <w:pStyle w:val="Compact"/>
        <w:numPr>
          <w:numId w:val="1006"/>
          <w:ilvl w:val="0"/>
        </w:numPr>
      </w:pPr>
      <w:r>
        <w:t xml:space="preserve">establishing connectivity among nested catchments as a baseline for experimental treatments (future)</w:t>
      </w:r>
    </w:p>
    <w:p>
      <w:pPr>
        <w:pStyle w:val="Heading2"/>
      </w:pPr>
      <w:bookmarkStart w:id="110" w:name="summary-conclusions"/>
      <w:r>
        <w:t xml:space="preserve">Summary &amp; Conclusions</w:t>
      </w:r>
      <w:bookmarkEnd w:id="110"/>
    </w:p>
    <w:p>
      <w:pPr>
        <w:pStyle w:val="Heading3"/>
      </w:pPr>
      <w:bookmarkStart w:id="111" w:name="X8db5f38833cbb48dc6afb8e20d30ffa86edd60c"/>
      <w:r>
        <w:t xml:space="preserve">Discussion of results in context of drinking water supply</w:t>
      </w:r>
      <w:bookmarkEnd w:id="111"/>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7"/>
          <w:ilvl w:val="0"/>
        </w:numPr>
      </w:pPr>
      <w:r>
        <w:t xml:space="preserve">conflicting objectives and competing values (Peter Duinker’s work)</w:t>
      </w:r>
    </w:p>
    <w:p>
      <w:pPr>
        <w:pStyle w:val="Compact"/>
        <w:numPr>
          <w:numId w:val="1008"/>
          <w:ilvl w:val="1"/>
        </w:numPr>
      </w:pPr>
      <w:r>
        <w:t xml:space="preserve">managing temperate forests for timber removes carbon pools, managing for protection may increase the carbon, thus protection does not necessarily improve water quality.</w:t>
      </w:r>
    </w:p>
    <w:p>
      <w:pPr>
        <w:pStyle w:val="Compact"/>
        <w:numPr>
          <w:numId w:val="1008"/>
          <w:ilvl w:val="1"/>
        </w:numPr>
      </w:pPr>
      <w:r>
        <w:t xml:space="preserve">timber / carbon sequestration / water / biodiversity</w:t>
      </w:r>
    </w:p>
    <w:p>
      <w:pPr>
        <w:pStyle w:val="Compact"/>
        <w:numPr>
          <w:numId w:val="1007"/>
          <w:ilvl w:val="0"/>
        </w:numPr>
      </w:pPr>
      <w:r>
        <w:t xml:space="preserve">source water quality in rivers is unlikely to reflect the water at the intake tower</w:t>
      </w:r>
    </w:p>
    <w:p>
      <w:pPr>
        <w:pStyle w:val="Compact"/>
        <w:numPr>
          <w:numId w:val="1009"/>
          <w:ilvl w:val="1"/>
        </w:numPr>
      </w:pPr>
      <w:r>
        <w:t xml:space="preserve">reservoir residence times</w:t>
      </w:r>
    </w:p>
    <w:p>
      <w:pPr>
        <w:pStyle w:val="Compact"/>
        <w:numPr>
          <w:numId w:val="1009"/>
          <w:ilvl w:val="1"/>
        </w:numPr>
      </w:pPr>
      <w:r>
        <w:t xml:space="preserve">photodegradation</w:t>
      </w:r>
    </w:p>
    <w:p>
      <w:pPr>
        <w:pStyle w:val="Compact"/>
        <w:numPr>
          <w:numId w:val="1009"/>
          <w:ilvl w:val="1"/>
        </w:numPr>
      </w:pPr>
      <w:r>
        <w:t xml:space="preserve">physiochemcial reactions and changes</w:t>
      </w:r>
    </w:p>
    <w:p>
      <w:pPr>
        <w:pStyle w:val="Compact"/>
        <w:numPr>
          <w:numId w:val="1009"/>
          <w:ilvl w:val="1"/>
        </w:numPr>
      </w:pPr>
      <w:r>
        <w:t xml:space="preserve">biodegradation // transformation // bioproduction of NOM</w:t>
      </w:r>
    </w:p>
    <w:p>
      <w:pPr>
        <w:pStyle w:val="Compact"/>
        <w:numPr>
          <w:numId w:val="1009"/>
          <w:ilvl w:val="1"/>
        </w:numPr>
      </w:pPr>
      <w:r>
        <w:t xml:space="preserve">the rivers introduce new material and new conditions (e.g. different temperatures, dissolved oxygen, carbonate for buffering or organic acids altering pH, new microbiota) the</w:t>
      </w:r>
    </w:p>
    <w:p>
      <w:pPr>
        <w:pStyle w:val="Compact"/>
        <w:numPr>
          <w:numId w:val="1009"/>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9"/>
          <w:ilvl w:val="1"/>
        </w:numPr>
      </w:pPr>
      <w:r>
        <w:t xml:space="preserve">UV degradation is likely in lakes</w:t>
      </w:r>
    </w:p>
    <w:p>
      <w:pPr>
        <w:pStyle w:val="Compact"/>
        <w:numPr>
          <w:numId w:val="1009"/>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12" w:name="concluding-remarks"/>
      <w:r>
        <w:t xml:space="preserve">Concluding remarks</w:t>
      </w:r>
      <w:bookmarkEnd w:id="112"/>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0"/>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1"/>
          <w:ilvl w:val="0"/>
        </w:numPr>
      </w:pPr>
      <w:r>
        <w:t xml:space="preserve">Across the LWSA, was the variance in DOC greater within each site or among all sites?</w:t>
      </w:r>
    </w:p>
    <w:p>
      <w:pPr>
        <w:numPr>
          <w:numId w:val="1011"/>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3" w:name="references"/>
      <w:r>
        <w:t xml:space="preserve">References</w:t>
      </w:r>
      <w:bookmarkEnd w:id="113"/>
    </w:p>
    <w:p>
      <w:pPr>
        <w:pStyle w:val="Heading1"/>
      </w:pPr>
      <w:bookmarkStart w:id="114" w:name="appendices"/>
      <w:r>
        <w:t xml:space="preserve">Appendices</w:t>
      </w:r>
      <w:bookmarkEnd w:id="114"/>
    </w:p>
    <w:p>
      <w:pPr>
        <w:pStyle w:val="Heading7"/>
      </w:pPr>
      <w:bookmarkStart w:id="115" w:name="technology-summary"/>
      <w:r>
        <w:t xml:space="preserve">Technology summary</w:t>
      </w:r>
      <w:bookmarkEnd w:id="115"/>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16" w:name="Xe94dc613e79104e648a7e62ba8d389c33fd5369"/>
      <w:r>
        <w:t xml:space="preserve">NSERC forWater Network &amp; the Capital Regional District</w:t>
      </w:r>
      <w:bookmarkEnd w:id="116"/>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17" w:name="X98dc39d856ad51b9fee1476a54ede95168b6c62"/>
      <w:r>
        <w:t xml:space="preserve">Greater Victoria Regional Water Supply System, CRD</w:t>
      </w:r>
      <w:bookmarkEnd w:id="117"/>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18" w:name="Xcf21184d8ccce3de636021e865985ac80b4f9f9"/>
      <w:r>
        <w:t xml:space="preserve">Leech water supply area monitoring sites: details and observations</w:t>
      </w:r>
      <w:bookmarkEnd w:id="118"/>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Heading8"/>
      </w:pPr>
      <w:bookmarkStart w:id="119" w:name="lwsa-sites"/>
      <w:r>
        <w:t xml:space="preserve">LWSA Sites</w:t>
      </w:r>
      <w:bookmarkEnd w:id="119"/>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20" w:name="weeks-creek-site-1"/>
      <w:r>
        <w:t xml:space="preserve">Weeks Creek (site 1)</w:t>
      </w:r>
      <w:bookmarkEnd w:id="120"/>
    </w:p>
    <w:p>
      <w:pPr>
        <w:pStyle w:val="FirstParagraph"/>
      </w:pPr>
      <w:r>
        <w:t xml:space="preserve"> </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21" w:name="chris-creek-site-2"/>
      <w:r>
        <w:t xml:space="preserve">Chris Creek (site 2)</w:t>
      </w:r>
      <w:bookmarkEnd w:id="121"/>
    </w:p>
    <w:p>
      <w:pPr>
        <w:pStyle w:val="FirstParagraph"/>
      </w:pPr>
      <w:r>
        <w:t xml:space="preserve"> </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22" w:name="leech-head-site-3"/>
      <w:r>
        <w:t xml:space="preserve">Leech Head (site 3)</w:t>
      </w:r>
      <w:bookmarkEnd w:id="122"/>
    </w:p>
    <w:p>
      <w:pPr>
        <w:pStyle w:val="FirstParagraph"/>
      </w:pPr>
      <w:r>
        <w:t xml:space="preserve"> </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23" w:name="cragg-creek-site-4"/>
      <w:r>
        <w:t xml:space="preserve">Cragg Creek (site 4)</w:t>
      </w:r>
      <w:bookmarkEnd w:id="123"/>
    </w:p>
    <w:p>
      <w:pPr>
        <w:pStyle w:val="FirstParagraph"/>
      </w:pPr>
      <w:r>
        <w:t xml:space="preserve"> </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0: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24"/>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25" w:name="west-leech-site-5"/>
      <w:r>
        <w:t xml:space="preserve">West Leech (site 5)</w:t>
      </w:r>
      <w:bookmarkEnd w:id="125"/>
    </w:p>
    <w:p>
      <w:pPr>
        <w:pStyle w:val="FirstParagraph"/>
      </w:pPr>
      <w:r>
        <w:t xml:space="preserve"> </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26" w:name="leech-tunnel-site-6"/>
      <w:r>
        <w:t xml:space="preserve">Leech Tunnel (site 6)</w:t>
      </w:r>
      <w:bookmarkEnd w:id="126"/>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27" w:name="X3c82df21c002a4855f328820b5a765237738175"/>
      <w:r>
        <w:t xml:space="preserve">Treatability: forWater coordinated treatability analyses for disinfection by-product formation potentials (DBP-FP)</w:t>
      </w:r>
      <w:bookmarkEnd w:id="127"/>
    </w:p>
    <w:p>
      <w:pPr>
        <w:pStyle w:val="FirstParagraph"/>
      </w:pPr>
      <w:r>
        <w:t xml:space="preserve"> </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2"/>
          <w:ilvl w:val="0"/>
        </w:numPr>
      </w:pPr>
      <w:r>
        <w:t xml:space="preserve">Leech River at the future point of diversion (near Leech Tunnel inlet)</w:t>
      </w:r>
    </w:p>
    <w:p>
      <w:pPr>
        <w:pStyle w:val="Compact"/>
        <w:numPr>
          <w:numId w:val="1012"/>
          <w:ilvl w:val="0"/>
        </w:numPr>
      </w:pPr>
      <w:r>
        <w:t xml:space="preserve">Deception Reservoir, downstream from Deception Gulch (outlet of Leech Tunnel)</w:t>
      </w:r>
    </w:p>
    <w:p>
      <w:pPr>
        <w:pStyle w:val="Compact"/>
        <w:numPr>
          <w:numId w:val="1012"/>
          <w:ilvl w:val="0"/>
        </w:numPr>
      </w:pPr>
      <w:r>
        <w:t xml:space="preserve">Rithet Creek (main tributary to Sooke Reservoir)</w:t>
      </w:r>
    </w:p>
    <w:p>
      <w:pPr>
        <w:pStyle w:val="Compact"/>
        <w:numPr>
          <w:numId w:val="1012"/>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28" w:name="results-treatability-doc"/>
      <w:r>
        <w:t xml:space="preserve">Results: Treatability &amp; DOC</w:t>
      </w:r>
      <w:bookmarkEnd w:id="128"/>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31</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1: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29"/>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30" w:name="X4b7b3e6ac6573f953e6980479d08b8ee7c28f75"/>
      <w:r>
        <w:t xml:space="preserve">Metals &amp; DOC: collaborative sampling for Metals on behalf of the CRD</w:t>
      </w:r>
      <w:bookmarkEnd w:id="130"/>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9"/>
      </w:pPr>
      <w:bookmarkStart w:id="131" w:name="metals-doc"/>
      <w:r>
        <w:t xml:space="preserve">Metals &amp; DOC</w:t>
      </w:r>
      <w:bookmarkEnd w:id="131"/>
    </w:p>
    <w:p>
      <w:pPr>
        <w:pStyle w:val="FirstParagraph"/>
      </w:pPr>
      <w:r>
        <w:t xml:space="preserve"> </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32</w:t>
      </w:r>
      <w:r>
        <w:t xml:space="preserve"> </w:t>
      </w:r>
      <w:r>
        <w:t xml:space="preserve">shows DOC with total metals in μg/L, and Figure</w:t>
      </w:r>
      <w:r>
        <w:t xml:space="preserve"> </w:t>
      </w:r>
      <w:r>
        <w:t xml:space="preserve">33</w:t>
      </w:r>
      <w:r>
        <w:t xml:space="preserve"> </w:t>
      </w:r>
      <w:r>
        <w:t xml:space="preserve">shows metals in mg/L).</w:t>
      </w:r>
    </w:p>
    <w:p>
      <w:pPr>
        <w:pStyle w:val="BodyText"/>
      </w:pPr>
      <w:r>
        <w:t xml:space="preserve"> </w:t>
      </w:r>
    </w:p>
    <w:p>
      <w:pPr>
        <w:pStyle w:val="CaptionedFigure"/>
      </w:pPr>
      <w:r>
        <w:drawing>
          <wp:inline>
            <wp:extent cx="5943600" cy="3672423"/>
            <wp:effectExtent b="0" l="0" r="0" t="0"/>
            <wp:docPr descr="Figure 32: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2"/>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72423"/>
            <wp:effectExtent b="0" l="0" r="0" t="0"/>
            <wp:docPr descr="Figure 33: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3"/>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18</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18:</w:t>
      </w:r>
      <w:r>
        <w:t xml:space="preserve"> </w:t>
      </w:r>
      <w:r>
        <w:rPr>
          <w:i/>
        </w:rPr>
        <w:t xml:space="preserve">Relationships between total metals with dissolved organic carbon</w:t>
      </w:r>
    </w:p>
    <w:tbl>
      <w:tblPr>
        <w:tblStyle w:val="Table"/>
        <w:tblW w:type="pct" w:w="0.0"/>
        <w:tblLook w:firstRow="1"/>
        <w:tblCaption w:val="Table 18: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8"/>
      </w:pPr>
      <w:bookmarkStart w:id="134" w:name="fwx-stations-in-the-lwsa-ancilary-data"/>
      <w:r>
        <w:t xml:space="preserve">FWx stations in the LWSA: ancilary data</w:t>
      </w:r>
      <w:bookmarkEnd w:id="134"/>
    </w:p>
    <w:p>
      <w:pPr>
        <w:pStyle w:val="FirstParagraph"/>
      </w:pPr>
      <w:r>
        <w:t xml:space="preserve"> </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34</w:t>
      </w:r>
      <w:r>
        <w:t xml:space="preserve">, Table</w:t>
      </w:r>
      <w:r>
        <w:t xml:space="preserve"> </w:t>
      </w:r>
      <w:r>
        <w:t xml:space="preserve">19</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4: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19: Annual weather from CRD FWx stations in the Leech water supply area*</w:t>
      </w:r>
    </w:p>
    <w:tbl>
      <w:tblPr>
        <w:tblStyle w:val="Table"/>
        <w:tblW w:type="pct" w:w="5000.0"/>
        <w:tblLook w:firstRow="1"/>
        <w:tblCaption w:val="Table 19: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7"/>
      </w:pPr>
      <w:bookmarkStart w:id="136" w:name="X7c6356a43fe14fad85e2bfec714ae5604410a47"/>
      <w:r>
        <w:t xml:space="preserve">Linear regression for air temperatures at vertical racks</w:t>
      </w:r>
      <w:bookmarkEnd w:id="136"/>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35</w:t>
      </w:r>
      <w:r>
        <w:t xml:space="preserve">).</w:t>
      </w:r>
    </w:p>
    <w:p>
      <w:pPr>
        <w:pStyle w:val="BodyText"/>
      </w:pPr>
      <w:r>
        <w:t xml:space="preserve"> </w:t>
      </w:r>
    </w:p>
    <w:p>
      <w:pPr>
        <w:pStyle w:val="CaptionedFigure"/>
      </w:pPr>
      <w:r>
        <w:drawing>
          <wp:inline>
            <wp:extent cx="5504749" cy="5504749"/>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36</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6: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38"/>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Temperatures recorded in air and water on vertical racks at each research site.</w:t>
      </w:r>
    </w:p>
    <w:p>
      <w:pPr>
        <w:pStyle w:val="BodyText"/>
      </w:pPr>
      <w:r>
        <w:t xml:space="preserve"> </w:t>
      </w:r>
    </w:p>
    <w:p>
      <w:pPr>
        <w:pStyle w:val="Heading8"/>
      </w:pPr>
      <w:bookmarkStart w:id="139" w:name="Xcb91ee272f7dfa22c755b18931f0aed63be860e"/>
      <w:r>
        <w:t xml:space="preserve">Linear regression: air temperature estimation</w:t>
      </w:r>
      <w:bookmarkEnd w:id="139"/>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37</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7: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20</w:t>
      </w:r>
      <w:r>
        <w:t xml:space="preserve">) with no statistical difference (at 90% confidence) for Cragg Crk, West Leech and the Tunnel (sites 4, 5, 6).</w:t>
      </w:r>
    </w:p>
    <w:p>
      <w:pPr>
        <w:pStyle w:val="BodyText"/>
      </w:pPr>
      <w:r>
        <w:t xml:space="preserve"> </w:t>
      </w:r>
    </w:p>
    <w:p>
      <w:pPr>
        <w:pStyle w:val="TableCaption"/>
      </w:pPr>
      <w:r>
        <w:t xml:space="preserve">Table 20:</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0: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38</w:t>
      </w:r>
      <w:r>
        <w:t xml:space="preserve">). Table</w:t>
      </w:r>
      <w:r>
        <w:t xml:space="preserve"> </w:t>
      </w:r>
      <w:r>
        <w:t xml:space="preserve">21</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21:</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1: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8: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42" w:name="results-extended"/>
      <w:r>
        <w:t xml:space="preserve">Results extended</w:t>
      </w:r>
      <w:bookmarkEnd w:id="142"/>
    </w:p>
    <w:p>
      <w:pPr>
        <w:pStyle w:val="Heading8"/>
      </w:pPr>
      <w:bookmarkStart w:id="143" w:name="X91fa14e256c50d3b56fbacfc8ea86d69f0ab7ce"/>
      <w:r>
        <w:t xml:space="preserve">NOM sampling in nested catchments (from Ch.2)</w:t>
      </w:r>
      <w:bookmarkEnd w:id="143"/>
    </w:p>
    <w:p>
      <w:pPr>
        <w:pStyle w:val="FirstParagraph"/>
      </w:pPr>
      <w:r>
        <w:t xml:space="preserve"> </w:t>
      </w:r>
    </w:p>
    <w:p>
      <w:pPr>
        <w:pStyle w:val="CaptionedFigure"/>
      </w:pPr>
      <w:r>
        <w:drawing>
          <wp:inline>
            <wp:extent cx="5504749" cy="5504749"/>
            <wp:effectExtent b="0" l="0" r="0" t="0"/>
            <wp:docPr descr="Figure 39: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39</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39</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40</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0: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46" w:name="possible-trash"/>
      <w:r>
        <w:t xml:space="preserve">possible trash</w:t>
      </w:r>
      <w:bookmarkEnd w:id="146"/>
    </w:p>
    <w:p>
      <w:pPr>
        <w:pStyle w:val="Heading7"/>
      </w:pPr>
      <w:bookmarkStart w:id="147" w:name="sampling-methods-extended"/>
      <w:r>
        <w:t xml:space="preserve">Sampling methods extended</w:t>
      </w:r>
      <w:bookmarkEnd w:id="147"/>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BodyText"/>
      </w:pPr>
      <w:r>
        <w:rPr>
          <w:i/>
          <w:b/>
        </w:rPr>
        <w:t xml:space="preserve">Vertical racks</w:t>
      </w:r>
    </w:p>
    <w:p>
      <w:pPr>
        <w:pStyle w:val="BodyText"/>
      </w:pPr>
      <w:r>
        <w:t xml:space="preserve"> </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48" w:name="X4e3eb70344da6a931ae15671e47b67ae69cdd36"/>
      <w:r>
        <w:t xml:space="preserve">Prototype for falling limb passive sampling</w:t>
      </w:r>
      <w:bookmarkEnd w:id="148"/>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49" w:name="field-protocol"/>
      <w:r>
        <w:t xml:space="preserve">Field protocol</w:t>
      </w:r>
      <w:bookmarkEnd w:id="149"/>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50" w:name="malahat-5-year-weather"/>
      <w:r>
        <w:t xml:space="preserve">Malahat 5 year weather</w:t>
      </w:r>
      <w:bookmarkEnd w:id="150"/>
    </w:p>
    <w:p>
      <w:pPr>
        <w:pStyle w:val="Compact"/>
        <w:numPr>
          <w:numId w:val="1013"/>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41</w:t>
      </w:r>
      <w:r>
        <w:t xml:space="preserve"> </w:t>
      </w:r>
      <w:r>
        <w:t xml:space="preserve">shows Malahat weather data, which are summarized in Table</w:t>
      </w:r>
      <w:r>
        <w:t xml:space="preserve"> </w:t>
      </w:r>
      <w:r>
        <w:t xml:space="preserve">22</w:t>
      </w:r>
      <w:r>
        <w:t xml:space="preserve">.</w:t>
      </w:r>
    </w:p>
    <w:p>
      <w:pPr>
        <w:pStyle w:val="CaptionedFigure"/>
      </w:pPr>
      <w:r>
        <w:drawing>
          <wp:inline>
            <wp:extent cx="5943600" cy="3672423"/>
            <wp:effectExtent b="0" l="0" r="0" t="0"/>
            <wp:docPr descr="Figure 41: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51"/>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22:</w:t>
      </w:r>
      <w:r>
        <w:t xml:space="preserve"> </w:t>
      </w:r>
      <w:r>
        <w:rPr>
          <w:i/>
        </w:rPr>
        <w:t xml:space="preserve">Annual weather data from Malahat station (MoTI ID 62091)</w:t>
      </w:r>
    </w:p>
    <w:tbl>
      <w:tblPr>
        <w:tblStyle w:val="Table"/>
        <w:tblW w:type="pct" w:w="0.0"/>
        <w:tblLook w:firstRow="1"/>
        <w:tblCaption w:val="Table 22: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42</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72423"/>
            <wp:effectExtent b="0" l="0" r="0" t="0"/>
            <wp:docPr descr="Figure 42: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52"/>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23:</w:t>
      </w:r>
      <w:r>
        <w:t xml:space="preserve"> </w:t>
      </w:r>
      <w:r>
        <w:rPr>
          <w:i/>
        </w:rPr>
        <w:t xml:space="preserve">Results of Wilcoxon test for Malahat weather data before and during the study period</w:t>
      </w:r>
    </w:p>
    <w:tbl>
      <w:tblPr>
        <w:tblStyle w:val="Table"/>
        <w:tblW w:type="pct" w:w="0.0"/>
        <w:tblLook w:firstRow="1"/>
        <w:tblCaption w:val="Table 23: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8"/>
      </w:pPr>
      <w:bookmarkStart w:id="153" w:name="spatial-variance-in-doc-concentrations"/>
      <w:r>
        <w:t xml:space="preserve">Spatial variance in DOC concentrations</w:t>
      </w:r>
      <w:bookmarkEnd w:id="153"/>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24</w:t>
      </w:r>
      <w:r>
        <w:t xml:space="preserve">).</w:t>
      </w:r>
    </w:p>
    <w:p>
      <w:pPr>
        <w:pStyle w:val="BodyText"/>
      </w:pPr>
      <w:r>
        <w:t xml:space="preserve"> </w:t>
      </w:r>
    </w:p>
    <w:p>
      <w:pPr>
        <w:pStyle w:val="TableCaption"/>
      </w:pPr>
      <w:r>
        <w:t xml:space="preserve">Table 24:</w:t>
      </w:r>
      <w:r>
        <w:t xml:space="preserve"> </w:t>
      </w:r>
      <w:r>
        <w:rPr>
          <w:i/>
        </w:rPr>
        <w:t xml:space="preserve">Summary of DOC across the six LWSA research sites with each nested catchment classified by basin type.</w:t>
      </w:r>
    </w:p>
    <w:tbl>
      <w:tblPr>
        <w:tblStyle w:val="Table"/>
        <w:tblW w:type="pct" w:w="5000.0"/>
        <w:tblLook w:firstRow="1"/>
        <w:tblCaption w:val="Table 24: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54"/>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25</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25:</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5: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55" w:name="e2e3-over-time"/>
      <w:r>
        <w:t xml:space="preserve">E2E3 over time</w:t>
      </w:r>
      <w:bookmarkEnd w:id="155"/>
    </w:p>
    <w:p>
      <w:pPr>
        <w:pStyle w:val="FirstParagraph"/>
      </w:pPr>
      <w:r>
        <w:t xml:space="preserve"> </w:t>
      </w:r>
    </w:p>
    <w:p>
      <w:pPr>
        <w:pStyle w:val="CaptionedFigure"/>
      </w:pPr>
      <w:r>
        <w:drawing>
          <wp:inline>
            <wp:extent cx="5504749" cy="3669832"/>
            <wp:effectExtent b="0" l="0" r="0" t="0"/>
            <wp:docPr descr="Figure 43: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5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84" w:name="refs"/>
    <w:bookmarkStart w:id="158"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57">
        <w:r>
          <w:rPr>
            <w:rStyle w:val="Hyperlink"/>
          </w:rPr>
          <w:t xml:space="preserve">https://doi.org/10.1111/ele.12897</w:t>
        </w:r>
      </w:hyperlink>
      <w:r>
        <w:t xml:space="preserve">.</w:t>
      </w:r>
    </w:p>
    <w:bookmarkEnd w:id="158"/>
    <w:bookmarkStart w:id="160"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9">
        <w:r>
          <w:rPr>
            <w:rStyle w:val="Hyperlink"/>
          </w:rPr>
          <w:t xml:space="preserve">https://doi.org/10.1002/j.1551-8833.1995.tb06299.x</w:t>
        </w:r>
      </w:hyperlink>
      <w:r>
        <w:t xml:space="preserve">.</w:t>
      </w:r>
    </w:p>
    <w:bookmarkEnd w:id="160"/>
    <w:bookmarkStart w:id="162"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61">
        <w:r>
          <w:rPr>
            <w:rStyle w:val="Hyperlink"/>
          </w:rPr>
          <w:t xml:space="preserve">https://doi.org/10.1021/es103992s</w:t>
        </w:r>
      </w:hyperlink>
      <w:r>
        <w:t xml:space="preserve">.</w:t>
      </w:r>
    </w:p>
    <w:bookmarkEnd w:id="162"/>
    <w:bookmarkStart w:id="164"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63">
        <w:r>
          <w:rPr>
            <w:rStyle w:val="Hyperlink"/>
          </w:rPr>
          <w:t xml:space="preserve">https://doi.org/10.1016/j.jhydrol.2014.05.060</w:t>
        </w:r>
      </w:hyperlink>
      <w:r>
        <w:t xml:space="preserve">.</w:t>
      </w:r>
    </w:p>
    <w:bookmarkEnd w:id="164"/>
    <w:bookmarkStart w:id="166"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65">
        <w:r>
          <w:rPr>
            <w:rStyle w:val="Hyperlink"/>
          </w:rPr>
          <w:t xml:space="preserve">https://doi.org/10.1029/2007JG000674</w:t>
        </w:r>
      </w:hyperlink>
      <w:r>
        <w:t xml:space="preserve">.</w:t>
      </w:r>
    </w:p>
    <w:bookmarkEnd w:id="166"/>
    <w:bookmarkStart w:id="168"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67">
        <w:r>
          <w:rPr>
            <w:rStyle w:val="Hyperlink"/>
          </w:rPr>
          <w:t xml:space="preserve">http://www.standardmethods.org/</w:t>
        </w:r>
      </w:hyperlink>
      <w:r>
        <w:t xml:space="preserve">.</w:t>
      </w:r>
    </w:p>
    <w:bookmarkEnd w:id="168"/>
    <w:bookmarkStart w:id="170"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9">
        <w:r>
          <w:rPr>
            <w:rStyle w:val="Hyperlink"/>
          </w:rPr>
          <w:t xml:space="preserve">https://doi.org/10.2105/SMWW.2882.113</w:t>
        </w:r>
      </w:hyperlink>
      <w:r>
        <w:t xml:space="preserve">.</w:t>
      </w:r>
    </w:p>
    <w:bookmarkEnd w:id="170"/>
    <w:bookmarkStart w:id="172"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71">
        <w:r>
          <w:rPr>
            <w:rStyle w:val="Hyperlink"/>
          </w:rPr>
          <w:t xml:space="preserve">https://doi.org/10.1007/s11749-016-0481-7</w:t>
        </w:r>
      </w:hyperlink>
      <w:r>
        <w:t xml:space="preserve">.</w:t>
      </w:r>
    </w:p>
    <w:bookmarkEnd w:id="172"/>
    <w:bookmarkStart w:id="174"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73">
        <w:r>
          <w:rPr>
            <w:rStyle w:val="Hyperlink"/>
          </w:rPr>
          <w:t xml:space="preserve">https://doi.org/10.1201/9780367816377-11</w:t>
        </w:r>
      </w:hyperlink>
      <w:r>
        <w:t xml:space="preserve">.</w:t>
      </w:r>
    </w:p>
    <w:bookmarkEnd w:id="174"/>
    <w:bookmarkStart w:id="176" w:name="ref-BC2019"/>
    <w:p>
      <w:pPr>
        <w:pStyle w:val="Bibliography"/>
      </w:pPr>
      <w:r>
        <w:t xml:space="preserve">British Columbia Ministry of Environment. 2017. “BC Source Drinking Water Quality Guidelines: Guideline Summary.” Victoria, B.C.: Prov. B.C.</w:t>
      </w:r>
      <w:r>
        <w:t xml:space="preserve"> </w:t>
      </w:r>
      <w:hyperlink r:id="rId175">
        <w:r>
          <w:rPr>
            <w:rStyle w:val="Hyperlink"/>
          </w:rPr>
          <w:t xml:space="preserve">https://www2.gov.bc.ca/gov/content/governments/organizational-structure/ministries-organizations/ministries/environment-climate-change</w:t>
        </w:r>
      </w:hyperlink>
      <w:r>
        <w:t xml:space="preserve">.</w:t>
      </w:r>
    </w:p>
    <w:bookmarkEnd w:id="176"/>
    <w:bookmarkStart w:id="177" w:name="ref-CCME2004"/>
    <w:p>
      <w:pPr>
        <w:pStyle w:val="Bibliography"/>
      </w:pPr>
      <w:r>
        <w:t xml:space="preserve">Canadian Council of Ministers of the Environment. 2004. “From source to tap : guidance on the multi-barrier approach to safe drinking water.”</w:t>
      </w:r>
    </w:p>
    <w:bookmarkEnd w:id="177"/>
    <w:bookmarkStart w:id="179" w:name="ref-CRD"/>
    <w:p>
      <w:pPr>
        <w:pStyle w:val="Bibliography"/>
      </w:pPr>
      <w:r>
        <w:t xml:space="preserve">Capital Regional District. n.d. “Facts and Figures for the Greater Victoria Water Supply Area.” Accessed July 13, 2018.</w:t>
      </w:r>
      <w:r>
        <w:t xml:space="preserve"> </w:t>
      </w:r>
      <w:hyperlink r:id="rId178">
        <w:r>
          <w:rPr>
            <w:rStyle w:val="Hyperlink"/>
          </w:rPr>
          <w:t xml:space="preserve">https://www.crd.bc.ca/service/public-tours/watershed-tours/facts-figures</w:t>
        </w:r>
      </w:hyperlink>
      <w:r>
        <w:t xml:space="preserve">.</w:t>
      </w:r>
    </w:p>
    <w:bookmarkEnd w:id="179"/>
    <w:bookmarkStart w:id="180"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80"/>
    <w:bookmarkStart w:id="182"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81">
        <w:r>
          <w:rPr>
            <w:rStyle w:val="Hyperlink"/>
          </w:rPr>
          <w:t xml:space="preserve">https://doi.org/10.2166/aqua.2008.064</w:t>
        </w:r>
      </w:hyperlink>
      <w:r>
        <w:t xml:space="preserve">.</w:t>
      </w:r>
    </w:p>
    <w:bookmarkEnd w:id="182"/>
    <w:bookmarkStart w:id="184"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83">
        <w:r>
          <w:rPr>
            <w:rStyle w:val="Hyperlink"/>
          </w:rPr>
          <w:t xml:space="preserve">https://doi.org/10.1007/978-94-007-1363-5</w:t>
        </w:r>
      </w:hyperlink>
      <w:r>
        <w:t xml:space="preserve">.</w:t>
      </w:r>
    </w:p>
    <w:bookmarkEnd w:id="184"/>
    <w:bookmarkStart w:id="186" w:name="ref-CapitalRegionDistrict2017"/>
    <w:p>
      <w:pPr>
        <w:pStyle w:val="Bibliography"/>
      </w:pPr>
      <w:r>
        <w:t xml:space="preserve">CRD. 2017. “Regional Water Supply 2017 Strategic Plan.” Victoria, B.C.: Capital Region District, Integrated Water Services.</w:t>
      </w:r>
      <w:r>
        <w:t xml:space="preserve"> </w:t>
      </w:r>
      <w:hyperlink r:id="rId185">
        <w:r>
          <w:rPr>
            <w:rStyle w:val="Hyperlink"/>
          </w:rPr>
          <w:t xml:space="preserve">https://www.crd.bc.ca/project/past-capital-projects-and-initiatives/water-supply-plan</w:t>
        </w:r>
      </w:hyperlink>
      <w:r>
        <w:t xml:space="preserve">.</w:t>
      </w:r>
    </w:p>
    <w:bookmarkEnd w:id="186"/>
    <w:bookmarkStart w:id="188"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87">
        <w:r>
          <w:rPr>
            <w:rStyle w:val="Hyperlink"/>
          </w:rPr>
          <w:t xml:space="preserve">https://doi.org/IWSS-297445977-5079</w:t>
        </w:r>
      </w:hyperlink>
      <w:r>
        <w:t xml:space="preserve">.</w:t>
      </w:r>
    </w:p>
    <w:bookmarkEnd w:id="188"/>
    <w:bookmarkStart w:id="190"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89">
        <w:r>
          <w:rPr>
            <w:rStyle w:val="Hyperlink"/>
          </w:rPr>
          <w:t xml:space="preserve">https://doi.org/10.1139/cjfas-2014-0400</w:t>
        </w:r>
      </w:hyperlink>
      <w:r>
        <w:t xml:space="preserve">.</w:t>
      </w:r>
    </w:p>
    <w:bookmarkEnd w:id="190"/>
    <w:bookmarkStart w:id="192"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191">
        <w:r>
          <w:rPr>
            <w:rStyle w:val="Hyperlink"/>
          </w:rPr>
          <w:t xml:space="preserve">https://doi.org/10.1016/B978-0-12-382092-1.00019-1</w:t>
        </w:r>
      </w:hyperlink>
      <w:r>
        <w:t xml:space="preserve">.</w:t>
      </w:r>
    </w:p>
    <w:bookmarkEnd w:id="192"/>
    <w:bookmarkStart w:id="194"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93">
        <w:r>
          <w:rPr>
            <w:rStyle w:val="Hyperlink"/>
          </w:rPr>
          <w:t xml:space="preserve">https://doi.org/10.1016/j.watres.2016.08.031</w:t>
        </w:r>
      </w:hyperlink>
      <w:r>
        <w:t xml:space="preserve">.</w:t>
      </w:r>
    </w:p>
    <w:bookmarkEnd w:id="194"/>
    <w:bookmarkStart w:id="196" w:name="ref-Diehl2007"/>
    <w:p>
      <w:pPr>
        <w:pStyle w:val="Bibliography"/>
      </w:pPr>
      <w:r>
        <w:t xml:space="preserve">Diehl, Timothy H. 2007. “A Modified Siphon Sampler for Shallow Water.” U.S. Department of the Interior, U.S. Geological Survey.</w:t>
      </w:r>
      <w:r>
        <w:t xml:space="preserve"> </w:t>
      </w:r>
      <w:hyperlink r:id="rId195">
        <w:r>
          <w:rPr>
            <w:rStyle w:val="Hyperlink"/>
          </w:rPr>
          <w:t xml:space="preserve">https://pubs.er.usgs.gov/publication/sir20075282</w:t>
        </w:r>
      </w:hyperlink>
      <w:r>
        <w:t xml:space="preserve">.</w:t>
      </w:r>
    </w:p>
    <w:bookmarkEnd w:id="196"/>
    <w:bookmarkStart w:id="198"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97">
        <w:r>
          <w:rPr>
            <w:rStyle w:val="Hyperlink"/>
          </w:rPr>
          <w:t xml:space="preserve">http://scholar.google.com/scholar?hl=en{\&amp;}btnG=Search{\&amp;}q=intitle:Running+Pure{\#}1</w:t>
        </w:r>
      </w:hyperlink>
      <w:r>
        <w:t xml:space="preserve">.</w:t>
      </w:r>
    </w:p>
    <w:bookmarkEnd w:id="198"/>
    <w:bookmarkStart w:id="200"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99">
        <w:r>
          <w:rPr>
            <w:rStyle w:val="Hyperlink"/>
          </w:rPr>
          <w:t xml:space="preserve">https://doi.org/10.1016/j.watres.2010.08.051</w:t>
        </w:r>
      </w:hyperlink>
      <w:r>
        <w:t xml:space="preserve">.</w:t>
      </w:r>
    </w:p>
    <w:bookmarkEnd w:id="200"/>
    <w:bookmarkStart w:id="201" w:name="ref-Epps1994"/>
    <w:p>
      <w:pPr>
        <w:pStyle w:val="Bibliography"/>
      </w:pPr>
      <w:r>
        <w:t xml:space="preserve">Epps, Deborah Norine. 1994. “Factors Affecting Disinfection By-Products from Surface Source Waters on Vancouver Island.” Master of Science, University of Victoria.</w:t>
      </w:r>
    </w:p>
    <w:bookmarkEnd w:id="201"/>
    <w:bookmarkStart w:id="203"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02">
        <w:r>
          <w:rPr>
            <w:rStyle w:val="Hyperlink"/>
          </w:rPr>
          <w:t xml:space="preserve">https://doi.org/10.3133/fs06700</w:t>
        </w:r>
      </w:hyperlink>
      <w:r>
        <w:t xml:space="preserve">.</w:t>
      </w:r>
    </w:p>
    <w:bookmarkEnd w:id="203"/>
    <w:bookmarkStart w:id="205"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04">
        <w:r>
          <w:rPr>
            <w:rStyle w:val="Hyperlink"/>
          </w:rPr>
          <w:t xml:space="preserve">https://doi.org/10.13031/2013.15662</w:t>
        </w:r>
      </w:hyperlink>
      <w:r>
        <w:t xml:space="preserve">.</w:t>
      </w:r>
    </w:p>
    <w:bookmarkEnd w:id="205"/>
    <w:bookmarkStart w:id="207" w:name="ref-HealthCanada2019"/>
    <w:p>
      <w:pPr>
        <w:pStyle w:val="Bibliography"/>
      </w:pPr>
      <w:r>
        <w:t xml:space="preserve">Health Canada. 2019a. “Guidance on Natural Organic Matter in Drinking Water.”</w:t>
      </w:r>
      <w:r>
        <w:t xml:space="preserve"> </w:t>
      </w:r>
      <w:hyperlink r:id="rId206">
        <w:r>
          <w:rPr>
            <w:rStyle w:val="Hyperlink"/>
          </w:rPr>
          <w:t xml:space="preserve">https://www.canada.ca/content/dam/hc-sc/documents/programs/consultation-organic-matter-drinking-water/NOM20190129-eng.pdf</w:t>
        </w:r>
      </w:hyperlink>
      <w:r>
        <w:t xml:space="preserve">.</w:t>
      </w:r>
    </w:p>
    <w:bookmarkEnd w:id="207"/>
    <w:bookmarkStart w:id="209"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8">
        <w:r>
          <w:rPr>
            <w:rStyle w:val="Hyperlink"/>
          </w:rPr>
          <w:t xml:space="preserve">https://www.canada.ca/content/dam/hc-sc/migration/hc-sc/ewh-semt/alt{\_}formats/pdf/pubs/water-eau/sum{\_}guide-res{\_}recom/summary-table-August-15-2019-eng.pdf</w:t>
        </w:r>
      </w:hyperlink>
      <w:r>
        <w:t xml:space="preserve">.</w:t>
      </w:r>
    </w:p>
    <w:bookmarkEnd w:id="209"/>
    <w:bookmarkStart w:id="211" w:name="ref-HealthCanada2006"/>
    <w:p>
      <w:pPr>
        <w:pStyle w:val="Bibliography"/>
      </w:pPr>
      <w:r>
        <w:t xml:space="preserve">HealthCanada. 2006. “Drinking Water Chlorination.”</w:t>
      </w:r>
      <w:r>
        <w:t xml:space="preserve"> </w:t>
      </w:r>
      <w:hyperlink r:id="rId210">
        <w:r>
          <w:rPr>
            <w:rStyle w:val="Hyperlink"/>
          </w:rPr>
          <w:t xml:space="preserve">https://www.canada.ca/en/health-canada/services/healthy-living/your-health/environment/drinking-water-chlorination.html</w:t>
        </w:r>
      </w:hyperlink>
      <w:r>
        <w:t xml:space="preserve">.</w:t>
      </w:r>
    </w:p>
    <w:bookmarkEnd w:id="211"/>
    <w:bookmarkStart w:id="213" w:name="ref-HealthLinkBC2018"/>
    <w:p>
      <w:pPr>
        <w:pStyle w:val="Bibliography"/>
      </w:pPr>
      <w:r>
        <w:t xml:space="preserve">HealthLinkBC. 2018. “Drinking Water Chlorination Facts.”</w:t>
      </w:r>
      <w:r>
        <w:t xml:space="preserve"> </w:t>
      </w:r>
      <w:hyperlink r:id="rId212">
        <w:r>
          <w:rPr>
            <w:rStyle w:val="Hyperlink"/>
          </w:rPr>
          <w:t xml:space="preserve">https://www.healthlinkbc.ca/healthlinkbc-files/drinking-water-chlorination</w:t>
        </w:r>
      </w:hyperlink>
      <w:r>
        <w:t xml:space="preserve">.</w:t>
      </w:r>
    </w:p>
    <w:bookmarkEnd w:id="213"/>
    <w:bookmarkStart w:id="215"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14">
        <w:r>
          <w:rPr>
            <w:rStyle w:val="Hyperlink"/>
          </w:rPr>
          <w:t xml:space="preserve">https://www.jstor.org/stable/40058211</w:t>
        </w:r>
      </w:hyperlink>
      <w:r>
        <w:t xml:space="preserve">.</w:t>
      </w:r>
    </w:p>
    <w:bookmarkEnd w:id="215"/>
    <w:bookmarkStart w:id="217"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16">
        <w:r>
          <w:rPr>
            <w:rStyle w:val="Hyperlink"/>
          </w:rPr>
          <w:t xml:space="preserve">https://doi.org/10.1029/2005JG000082</w:t>
        </w:r>
      </w:hyperlink>
      <w:r>
        <w:t xml:space="preserve">.</w:t>
      </w:r>
    </w:p>
    <w:bookmarkEnd w:id="217"/>
    <w:bookmarkStart w:id="219"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8">
        <w:r>
          <w:rPr>
            <w:rStyle w:val="Hyperlink"/>
          </w:rPr>
          <w:t xml:space="preserve">https://doi.org/10.1002/j.1551-8833.1995.tb06302.x</w:t>
        </w:r>
      </w:hyperlink>
      <w:r>
        <w:t xml:space="preserve">.</w:t>
      </w:r>
    </w:p>
    <w:bookmarkEnd w:id="219"/>
    <w:bookmarkStart w:id="221"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20">
        <w:r>
          <w:rPr>
            <w:rStyle w:val="Hyperlink"/>
          </w:rPr>
          <w:t xml:space="preserve">https://doi.org/doi:10.1046/j.1365-2427.1997.d01-539.x</w:t>
        </w:r>
      </w:hyperlink>
      <w:r>
        <w:t xml:space="preserve">.</w:t>
      </w:r>
    </w:p>
    <w:bookmarkEnd w:id="221"/>
    <w:bookmarkStart w:id="223"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22">
        <w:r>
          <w:rPr>
            <w:rStyle w:val="Hyperlink"/>
          </w:rPr>
          <w:t xml:space="preserve">https://www.jstor.org/stable/41311011</w:t>
        </w:r>
      </w:hyperlink>
      <w:r>
        <w:t xml:space="preserve">.</w:t>
      </w:r>
    </w:p>
    <w:bookmarkEnd w:id="223"/>
    <w:bookmarkStart w:id="225"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24">
        <w:r>
          <w:rPr>
            <w:rStyle w:val="Hyperlink"/>
          </w:rPr>
          <w:t xml:space="preserve">https://doi.org/10.1002/j.1551-8833.2002.tb10250.x</w:t>
        </w:r>
      </w:hyperlink>
      <w:r>
        <w:t xml:space="preserve">.</w:t>
      </w:r>
    </w:p>
    <w:bookmarkEnd w:id="225"/>
    <w:bookmarkStart w:id="227"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26">
        <w:r>
          <w:rPr>
            <w:rStyle w:val="Hyperlink"/>
          </w:rPr>
          <w:t xml:space="preserve">https://doi.org/10.1029/2005WR004362</w:t>
        </w:r>
      </w:hyperlink>
      <w:r>
        <w:t xml:space="preserve">.</w:t>
      </w:r>
    </w:p>
    <w:bookmarkEnd w:id="227"/>
    <w:bookmarkStart w:id="229"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8">
        <w:r>
          <w:rPr>
            <w:rStyle w:val="Hyperlink"/>
          </w:rPr>
          <w:t xml:space="preserve">https://archive.org/details/metaltransportre00lazeuoft/mode/2up</w:t>
        </w:r>
      </w:hyperlink>
      <w:r>
        <w:t xml:space="preserve">.</w:t>
      </w:r>
    </w:p>
    <w:bookmarkEnd w:id="229"/>
    <w:bookmarkStart w:id="231"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30">
        <w:r>
          <w:rPr>
            <w:rStyle w:val="Hyperlink"/>
          </w:rPr>
          <w:t xml:space="preserve">https://doi.org/10.1016/j.jhazmat.2014.02.009</w:t>
        </w:r>
      </w:hyperlink>
      <w:r>
        <w:t xml:space="preserve">.</w:t>
      </w:r>
    </w:p>
    <w:bookmarkEnd w:id="231"/>
    <w:bookmarkStart w:id="233"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32">
        <w:r>
          <w:rPr>
            <w:rStyle w:val="Hyperlink"/>
          </w:rPr>
          <w:t xml:space="preserve">https://doi.org/10.1002/rra.1504</w:t>
        </w:r>
      </w:hyperlink>
      <w:r>
        <w:t xml:space="preserve">.</w:t>
      </w:r>
    </w:p>
    <w:bookmarkEnd w:id="233"/>
    <w:bookmarkStart w:id="235"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34">
        <w:r>
          <w:rPr>
            <w:rStyle w:val="Hyperlink"/>
          </w:rPr>
          <w:t xml:space="preserve">https://doi.org/10.1016/j.chemosphere.2011.01.018</w:t>
        </w:r>
      </w:hyperlink>
      <w:r>
        <w:t xml:space="preserve">.</w:t>
      </w:r>
    </w:p>
    <w:bookmarkEnd w:id="235"/>
    <w:bookmarkStart w:id="237"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36">
        <w:r>
          <w:rPr>
            <w:rStyle w:val="Hyperlink"/>
          </w:rPr>
          <w:t xml:space="preserve">https://doi.org/10.1016/j.cis.2010.06.007</w:t>
        </w:r>
      </w:hyperlink>
      <w:r>
        <w:t xml:space="preserve">.</w:t>
      </w:r>
    </w:p>
    <w:bookmarkEnd w:id="237"/>
    <w:bookmarkStart w:id="239"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38">
        <w:r>
          <w:rPr>
            <w:rStyle w:val="Hyperlink"/>
          </w:rPr>
          <w:t xml:space="preserve">https://doi.org/10.1007/s10533-018-0482-6</w:t>
        </w:r>
      </w:hyperlink>
      <w:r>
        <w:t xml:space="preserve">.</w:t>
      </w:r>
    </w:p>
    <w:bookmarkEnd w:id="239"/>
    <w:bookmarkStart w:id="241"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40">
        <w:r>
          <w:rPr>
            <w:rStyle w:val="Hyperlink"/>
          </w:rPr>
          <w:t xml:space="preserve">https://www.jstor.org/stable/1937326</w:t>
        </w:r>
      </w:hyperlink>
      <w:r>
        <w:t xml:space="preserve">.</w:t>
      </w:r>
    </w:p>
    <w:bookmarkEnd w:id="241"/>
    <w:bookmarkStart w:id="243"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42">
        <w:r>
          <w:rPr>
            <w:rStyle w:val="Hyperlink"/>
          </w:rPr>
          <w:t xml:space="preserve">https://doi.org/10.14288/1.0387350</w:t>
        </w:r>
      </w:hyperlink>
      <w:r>
        <w:t xml:space="preserve">.</w:t>
      </w:r>
    </w:p>
    <w:bookmarkEnd w:id="243"/>
    <w:bookmarkStart w:id="245"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44">
        <w:r>
          <w:rPr>
            <w:rStyle w:val="Hyperlink"/>
          </w:rPr>
          <w:t xml:space="preserve">https://doi.org/10.1007/s10533-015-0103-6</w:t>
        </w:r>
      </w:hyperlink>
      <w:r>
        <w:t xml:space="preserve">.</w:t>
      </w:r>
    </w:p>
    <w:bookmarkEnd w:id="245"/>
    <w:bookmarkStart w:id="247"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46">
        <w:r>
          <w:rPr>
            <w:rStyle w:val="Hyperlink"/>
          </w:rPr>
          <w:t xml:space="preserve">http://hdl.handle.net/1885/40940</w:t>
        </w:r>
      </w:hyperlink>
      <w:r>
        <w:t xml:space="preserve">.</w:t>
      </w:r>
    </w:p>
    <w:bookmarkEnd w:id="247"/>
    <w:bookmarkStart w:id="24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48">
        <w:r>
          <w:rPr>
            <w:rStyle w:val="Hyperlink"/>
          </w:rPr>
          <w:t xml:space="preserve">https://doi.org/10.5194/bg-10-2315-2013</w:t>
        </w:r>
      </w:hyperlink>
      <w:r>
        <w:t xml:space="preserve">.</w:t>
      </w:r>
    </w:p>
    <w:bookmarkEnd w:id="249"/>
    <w:bookmarkStart w:id="251"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50">
        <w:r>
          <w:rPr>
            <w:rStyle w:val="Hyperlink"/>
          </w:rPr>
          <w:t xml:space="preserve">http://www.jstor.com/stable/41295152</w:t>
        </w:r>
      </w:hyperlink>
      <w:r>
        <w:t xml:space="preserve">.</w:t>
      </w:r>
    </w:p>
    <w:bookmarkEnd w:id="251"/>
    <w:bookmarkStart w:id="253"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52">
        <w:r>
          <w:rPr>
            <w:rStyle w:val="Hyperlink"/>
          </w:rPr>
          <w:t xml:space="preserve">https://doi.org/10.1007/s11270-013-1651-9</w:t>
        </w:r>
      </w:hyperlink>
      <w:r>
        <w:t xml:space="preserve">.</w:t>
      </w:r>
    </w:p>
    <w:bookmarkEnd w:id="253"/>
    <w:bookmarkStart w:id="255"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54">
        <w:r>
          <w:rPr>
            <w:rStyle w:val="Hyperlink"/>
          </w:rPr>
          <w:t xml:space="preserve">https://doi.org/10.1016/S0003-2670(96)00412-6</w:t>
        </w:r>
      </w:hyperlink>
      <w:r>
        <w:t xml:space="preserve">.</w:t>
      </w:r>
    </w:p>
    <w:bookmarkEnd w:id="255"/>
    <w:bookmarkStart w:id="257"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56">
        <w:r>
          <w:rPr>
            <w:rStyle w:val="Hyperlink"/>
          </w:rPr>
          <w:t xml:space="preserve">https://www.for.gov.bc.ca/hfd/pubs/docs/lmh/Lmh66/LMH66{\_}volume2of2.pdf</w:t>
        </w:r>
      </w:hyperlink>
      <w:r>
        <w:t xml:space="preserve">.</w:t>
      </w:r>
    </w:p>
    <w:bookmarkEnd w:id="257"/>
    <w:bookmarkStart w:id="258"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58"/>
    <w:bookmarkStart w:id="260"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59">
        <w:r>
          <w:rPr>
            <w:rStyle w:val="Hyperlink"/>
          </w:rPr>
          <w:t xml:space="preserve">https://doi.org/10.1007/sl0533-010-9416-7</w:t>
        </w:r>
      </w:hyperlink>
      <w:r>
        <w:t xml:space="preserve">.</w:t>
      </w:r>
    </w:p>
    <w:bookmarkEnd w:id="260"/>
    <w:bookmarkStart w:id="262"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61">
        <w:r>
          <w:rPr>
            <w:rStyle w:val="Hyperlink"/>
          </w:rPr>
          <w:t xml:space="preserve">https://www.jstor.org/stable/24702986</w:t>
        </w:r>
      </w:hyperlink>
      <w:r>
        <w:t xml:space="preserve">.</w:t>
      </w:r>
    </w:p>
    <w:bookmarkEnd w:id="262"/>
    <w:bookmarkStart w:id="264"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63">
        <w:r>
          <w:rPr>
            <w:rStyle w:val="Hyperlink"/>
          </w:rPr>
          <w:t xml:space="preserve">https://doi.org/10.1016/j.scitotenv.2016.09.113</w:t>
        </w:r>
      </w:hyperlink>
      <w:r>
        <w:t xml:space="preserve">.</w:t>
      </w:r>
    </w:p>
    <w:bookmarkEnd w:id="264"/>
    <w:bookmarkStart w:id="266"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65">
        <w:r>
          <w:rPr>
            <w:rStyle w:val="Hyperlink"/>
          </w:rPr>
          <w:t xml:space="preserve">https://doi.org/10.1111/j.1365-2427.2011.02613.x</w:t>
        </w:r>
      </w:hyperlink>
      <w:r>
        <w:t xml:space="preserve">.</w:t>
      </w:r>
    </w:p>
    <w:bookmarkEnd w:id="266"/>
    <w:bookmarkStart w:id="268"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67">
        <w:r>
          <w:rPr>
            <w:rStyle w:val="Hyperlink"/>
          </w:rPr>
          <w:t xml:space="preserve">https://doi.org/10.1186/1471-2105-9-307</w:t>
        </w:r>
      </w:hyperlink>
      <w:r>
        <w:t xml:space="preserve">.</w:t>
      </w:r>
    </w:p>
    <w:bookmarkEnd w:id="268"/>
    <w:bookmarkStart w:id="270"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69">
        <w:r>
          <w:rPr>
            <w:rStyle w:val="Hyperlink"/>
          </w:rPr>
          <w:t xml:space="preserve">https://doi.org/10.1037/a0016973</w:t>
        </w:r>
      </w:hyperlink>
      <w:r>
        <w:t xml:space="preserve">.</w:t>
      </w:r>
    </w:p>
    <w:bookmarkEnd w:id="270"/>
    <w:bookmarkStart w:id="272"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71">
        <w:r>
          <w:rPr>
            <w:rStyle w:val="Hyperlink"/>
          </w:rPr>
          <w:t xml:space="preserve">https://doi.org/10.1016/j.jenvman.2007.03.001</w:t>
        </w:r>
      </w:hyperlink>
      <w:r>
        <w:t xml:space="preserve">.</w:t>
      </w:r>
    </w:p>
    <w:bookmarkEnd w:id="272"/>
    <w:bookmarkStart w:id="273"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73"/>
    <w:bookmarkStart w:id="274"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74"/>
    <w:bookmarkStart w:id="275"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75"/>
    <w:bookmarkStart w:id="277"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76">
        <w:r>
          <w:rPr>
            <w:rStyle w:val="Hyperlink"/>
          </w:rPr>
          <w:t xml:space="preserve">https://doi.org/10.1007/s10533-008-9207-6</w:t>
        </w:r>
      </w:hyperlink>
      <w:r>
        <w:t xml:space="preserve">.</w:t>
      </w:r>
    </w:p>
    <w:bookmarkEnd w:id="277"/>
    <w:bookmarkStart w:id="279"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78">
        <w:r>
          <w:rPr>
            <w:rStyle w:val="Hyperlink"/>
          </w:rPr>
          <w:t xml:space="preserve">https://doi.org/10.1021/es030360x</w:t>
        </w:r>
      </w:hyperlink>
      <w:r>
        <w:t xml:space="preserve">.</w:t>
      </w:r>
    </w:p>
    <w:bookmarkEnd w:id="279"/>
    <w:bookmarkStart w:id="281"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80">
        <w:r>
          <w:rPr>
            <w:rStyle w:val="Hyperlink"/>
          </w:rPr>
          <w:t xml:space="preserve">https://doi.org/10.1007/s11356-015-4078-6</w:t>
        </w:r>
      </w:hyperlink>
      <w:r>
        <w:t xml:space="preserve">.</w:t>
      </w:r>
    </w:p>
    <w:bookmarkEnd w:id="281"/>
    <w:bookmarkStart w:id="283"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82">
        <w:r>
          <w:rPr>
            <w:rStyle w:val="Hyperlink"/>
          </w:rPr>
          <w:t xml:space="preserve">https://doi.org/10.1029/2018GL080005</w:t>
        </w:r>
      </w:hyperlink>
      <w:r>
        <w:t xml:space="preserve">.</w:t>
      </w:r>
    </w:p>
    <w:bookmarkEnd w:id="283"/>
    <w:bookmarkEnd w:id="284"/>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4">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6659F4"/>
    <w:rPr>
      <w:rFonts w:asciiTheme="minorHAnsi" w:hAnsiTheme="minorHAnsi"/>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24" Target="media/rId124.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3" Target="media/rId83.png" /><Relationship Type="http://schemas.openxmlformats.org/officeDocument/2006/relationships/image" Id="rId156" Target="media/rId156.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29" Target="media/rId129.png" /><Relationship Type="http://schemas.openxmlformats.org/officeDocument/2006/relationships/image" Id="rId91" Target="media/rId91.png" /><Relationship Type="http://schemas.openxmlformats.org/officeDocument/2006/relationships/image" Id="rId133" Target="media/rId133.png" /><Relationship Type="http://schemas.openxmlformats.org/officeDocument/2006/relationships/image" Id="rId132" Target="media/rId132.png" /><Relationship Type="http://schemas.openxmlformats.org/officeDocument/2006/relationships/hyperlink" Id="rId246" Target="http://hdl.handle.net/1885/40940" TargetMode="External" /><Relationship Type="http://schemas.openxmlformats.org/officeDocument/2006/relationships/hyperlink" Id="rId197" Target="http://scholar.google.com/scholar?hl=en%7B\&amp;%7DbtnG=Search%7B\&amp;%7Dq=intitle:Running+Pure%7B\#%7D1" TargetMode="External" /><Relationship Type="http://schemas.openxmlformats.org/officeDocument/2006/relationships/hyperlink" Id="rId250" Target="http://www.jstor.com/stable/41295152" TargetMode="External" /><Relationship Type="http://schemas.openxmlformats.org/officeDocument/2006/relationships/hyperlink" Id="rId167" Target="http://www.standardmethods.org/" TargetMode="External" /><Relationship Type="http://schemas.openxmlformats.org/officeDocument/2006/relationships/hyperlink" Id="rId228" Target="https://archive.org/details/metaltransportre00lazeuoft/mode/2up" TargetMode="External" /><Relationship Type="http://schemas.openxmlformats.org/officeDocument/2006/relationships/hyperlink" Id="rId159" Target="https://doi.org/10.1002/j.1551-8833.1995.tb06299.x" TargetMode="External" /><Relationship Type="http://schemas.openxmlformats.org/officeDocument/2006/relationships/hyperlink" Id="rId218" Target="https://doi.org/10.1002/j.1551-8833.1995.tb06302.x" TargetMode="External" /><Relationship Type="http://schemas.openxmlformats.org/officeDocument/2006/relationships/hyperlink" Id="rId224" Target="https://doi.org/10.1002/j.1551-8833.2002.tb10250.x" TargetMode="External" /><Relationship Type="http://schemas.openxmlformats.org/officeDocument/2006/relationships/hyperlink" Id="rId232" Target="https://doi.org/10.1002/rra.1504" TargetMode="External" /><Relationship Type="http://schemas.openxmlformats.org/officeDocument/2006/relationships/hyperlink" Id="rId183" Target="https://doi.org/10.1007/978-94-007-1363-5" TargetMode="External" /><Relationship Type="http://schemas.openxmlformats.org/officeDocument/2006/relationships/hyperlink" Id="rId276" Target="https://doi.org/10.1007/s10533-008-9207-6" TargetMode="External" /><Relationship Type="http://schemas.openxmlformats.org/officeDocument/2006/relationships/hyperlink" Id="rId244" Target="https://doi.org/10.1007/s10533-015-0103-6" TargetMode="External" /><Relationship Type="http://schemas.openxmlformats.org/officeDocument/2006/relationships/hyperlink" Id="rId238" Target="https://doi.org/10.1007/s10533-018-0482-6" TargetMode="External" /><Relationship Type="http://schemas.openxmlformats.org/officeDocument/2006/relationships/hyperlink" Id="rId252" Target="https://doi.org/10.1007/s11270-013-1651-9" TargetMode="External" /><Relationship Type="http://schemas.openxmlformats.org/officeDocument/2006/relationships/hyperlink" Id="rId280" Target="https://doi.org/10.1007/s11356-015-4078-6" TargetMode="External" /><Relationship Type="http://schemas.openxmlformats.org/officeDocument/2006/relationships/hyperlink" Id="rId171" Target="https://doi.org/10.1007/s11749-016-0481-7" TargetMode="External" /><Relationship Type="http://schemas.openxmlformats.org/officeDocument/2006/relationships/hyperlink" Id="rId259" Target="https://doi.org/10.1007/sl0533-010-9416-7" TargetMode="External" /><Relationship Type="http://schemas.openxmlformats.org/officeDocument/2006/relationships/hyperlink" Id="rId191" Target="https://doi.org/10.1016/B978-0-12-382092-1.00019-1" TargetMode="External" /><Relationship Type="http://schemas.openxmlformats.org/officeDocument/2006/relationships/hyperlink" Id="rId254" Target="https://doi.org/10.1016/S0003-2670(96)00412-6" TargetMode="External" /><Relationship Type="http://schemas.openxmlformats.org/officeDocument/2006/relationships/hyperlink" Id="rId234" Target="https://doi.org/10.1016/j.chemosphere.2011.01.018" TargetMode="External" /><Relationship Type="http://schemas.openxmlformats.org/officeDocument/2006/relationships/hyperlink" Id="rId236" Target="https://doi.org/10.1016/j.cis.2010.06.007" TargetMode="External" /><Relationship Type="http://schemas.openxmlformats.org/officeDocument/2006/relationships/hyperlink" Id="rId271" Target="https://doi.org/10.1016/j.jenvman.2007.03.001" TargetMode="External" /><Relationship Type="http://schemas.openxmlformats.org/officeDocument/2006/relationships/hyperlink" Id="rId230" Target="https://doi.org/10.1016/j.jhazmat.2014.02.009" TargetMode="External" /><Relationship Type="http://schemas.openxmlformats.org/officeDocument/2006/relationships/hyperlink" Id="rId163" Target="https://doi.org/10.1016/j.jhydrol.2014.05.060" TargetMode="External" /><Relationship Type="http://schemas.openxmlformats.org/officeDocument/2006/relationships/hyperlink" Id="rId263" Target="https://doi.org/10.1016/j.scitotenv.2016.09.113" TargetMode="External" /><Relationship Type="http://schemas.openxmlformats.org/officeDocument/2006/relationships/hyperlink" Id="rId199" Target="https://doi.org/10.1016/j.watres.2010.08.051" TargetMode="External" /><Relationship Type="http://schemas.openxmlformats.org/officeDocument/2006/relationships/hyperlink" Id="rId193" Target="https://doi.org/10.1016/j.watres.2016.08.031" TargetMode="External" /><Relationship Type="http://schemas.openxmlformats.org/officeDocument/2006/relationships/hyperlink" Id="rId278" Target="https://doi.org/10.1021/es030360x" TargetMode="External" /><Relationship Type="http://schemas.openxmlformats.org/officeDocument/2006/relationships/hyperlink" Id="rId161" Target="https://doi.org/10.1021/es103992s" TargetMode="External" /><Relationship Type="http://schemas.openxmlformats.org/officeDocument/2006/relationships/hyperlink" Id="rId216" Target="https://doi.org/10.1029/2005JG000082" TargetMode="External" /><Relationship Type="http://schemas.openxmlformats.org/officeDocument/2006/relationships/hyperlink" Id="rId226" Target="https://doi.org/10.1029/2005WR004362" TargetMode="External" /><Relationship Type="http://schemas.openxmlformats.org/officeDocument/2006/relationships/hyperlink" Id="rId165" Target="https://doi.org/10.1029/2007JG000674" TargetMode="External" /><Relationship Type="http://schemas.openxmlformats.org/officeDocument/2006/relationships/hyperlink" Id="rId282" Target="https://doi.org/10.1029/2018GL080005" TargetMode="External" /><Relationship Type="http://schemas.openxmlformats.org/officeDocument/2006/relationships/hyperlink" Id="rId269" Target="https://doi.org/10.1037/a0016973" TargetMode="External" /><Relationship Type="http://schemas.openxmlformats.org/officeDocument/2006/relationships/hyperlink" Id="rId157" Target="https://doi.org/10.1111/ele.12897" TargetMode="External" /><Relationship Type="http://schemas.openxmlformats.org/officeDocument/2006/relationships/hyperlink" Id="rId265" Target="https://doi.org/10.1111/j.1365-2427.2011.02613.x" TargetMode="External" /><Relationship Type="http://schemas.openxmlformats.org/officeDocument/2006/relationships/hyperlink" Id="rId189" Target="https://doi.org/10.1139/cjfas-2014-0400" TargetMode="External" /><Relationship Type="http://schemas.openxmlformats.org/officeDocument/2006/relationships/hyperlink" Id="rId267" Target="https://doi.org/10.1186/1471-2105-9-307" TargetMode="External" /><Relationship Type="http://schemas.openxmlformats.org/officeDocument/2006/relationships/hyperlink" Id="rId173" Target="https://doi.org/10.1201/9780367816377-11" TargetMode="External" /><Relationship Type="http://schemas.openxmlformats.org/officeDocument/2006/relationships/hyperlink" Id="rId204" Target="https://doi.org/10.13031/2013.15662" TargetMode="External" /><Relationship Type="http://schemas.openxmlformats.org/officeDocument/2006/relationships/hyperlink" Id="rId242" Target="https://doi.org/10.14288/1.0387350" TargetMode="External" /><Relationship Type="http://schemas.openxmlformats.org/officeDocument/2006/relationships/hyperlink" Id="rId169" Target="https://doi.org/10.2105/SMWW.2882.113" TargetMode="External" /><Relationship Type="http://schemas.openxmlformats.org/officeDocument/2006/relationships/hyperlink" Id="rId181" Target="https://doi.org/10.2166/aqua.2008.064" TargetMode="External" /><Relationship Type="http://schemas.openxmlformats.org/officeDocument/2006/relationships/hyperlink" Id="rId202" Target="https://doi.org/10.3133/fs06700" TargetMode="External" /><Relationship Type="http://schemas.openxmlformats.org/officeDocument/2006/relationships/hyperlink" Id="rId248" Target="https://doi.org/10.5194/bg-10-2315-2013" TargetMode="External" /><Relationship Type="http://schemas.openxmlformats.org/officeDocument/2006/relationships/hyperlink" Id="rId187" Target="https://doi.org/IWSS-297445977-5079" TargetMode="External" /><Relationship Type="http://schemas.openxmlformats.org/officeDocument/2006/relationships/hyperlink" Id="rId220" Target="https://doi.org/doi:10.1046/j.1365-2427.1997.d01-539.x" TargetMode="External" /><Relationship Type="http://schemas.openxmlformats.org/officeDocument/2006/relationships/hyperlink" Id="rId195" Target="https://pubs.er.usgs.gov/publication/sir20075282" TargetMode="External" /><Relationship Type="http://schemas.openxmlformats.org/officeDocument/2006/relationships/hyperlink" Id="rId206" Target="https://www.canada.ca/content/dam/hc-sc/documents/programs/consultation-organic-matter-drinking-water/NOM20190129-eng.pdf" TargetMode="External" /><Relationship Type="http://schemas.openxmlformats.org/officeDocument/2006/relationships/hyperlink" Id="rId208" Target="https://www.canada.ca/content/dam/hc-sc/migration/hc-sc/ewh-semt/alt%7B\_%7Dformats/pdf/pubs/water-eau/sum%7B\_%7Dguide-res%7B\_%7Drecom/summary-table-August-15-2019-eng.pdf" TargetMode="External" /><Relationship Type="http://schemas.openxmlformats.org/officeDocument/2006/relationships/hyperlink" Id="rId210" Target="https://www.canada.ca/en/health-canada/services/healthy-living/your-health/environment/drinking-water-chlorination.html" TargetMode="External" /><Relationship Type="http://schemas.openxmlformats.org/officeDocument/2006/relationships/hyperlink" Id="rId185" Target="https://www.crd.bc.ca/project/past-capital-projects-and-initiatives/water-supply-plan" TargetMode="External" /><Relationship Type="http://schemas.openxmlformats.org/officeDocument/2006/relationships/hyperlink" Id="rId178" Target="https://www.crd.bc.ca/service/public-tours/watershed-tours/facts-figures" TargetMode="External" /><Relationship Type="http://schemas.openxmlformats.org/officeDocument/2006/relationships/hyperlink" Id="rId25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2" Target="https://www.healthlinkbc.ca/healthlinkbc-files/drinking-water-chlorination" TargetMode="External" /><Relationship Type="http://schemas.openxmlformats.org/officeDocument/2006/relationships/hyperlink" Id="rId240" Target="https://www.jstor.org/stable/1937326" TargetMode="External" /><Relationship Type="http://schemas.openxmlformats.org/officeDocument/2006/relationships/hyperlink" Id="rId261" Target="https://www.jstor.org/stable/24702986" TargetMode="External" /><Relationship Type="http://schemas.openxmlformats.org/officeDocument/2006/relationships/hyperlink" Id="rId214" Target="https://www.jstor.org/stable/40058211" TargetMode="External" /><Relationship Type="http://schemas.openxmlformats.org/officeDocument/2006/relationships/hyperlink" Id="rId222" Target="https://www.jstor.org/stable/41311011" TargetMode="External" /><Relationship Type="http://schemas.openxmlformats.org/officeDocument/2006/relationships/hyperlink" Id="rId175"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46" Target="http://hdl.handle.net/1885/40940" TargetMode="External" /><Relationship Type="http://schemas.openxmlformats.org/officeDocument/2006/relationships/hyperlink" Id="rId197" Target="http://scholar.google.com/scholar?hl=en%7B\&amp;%7DbtnG=Search%7B\&amp;%7Dq=intitle:Running+Pure%7B\#%7D1" TargetMode="External" /><Relationship Type="http://schemas.openxmlformats.org/officeDocument/2006/relationships/hyperlink" Id="rId250" Target="http://www.jstor.com/stable/41295152" TargetMode="External" /><Relationship Type="http://schemas.openxmlformats.org/officeDocument/2006/relationships/hyperlink" Id="rId167" Target="http://www.standardmethods.org/" TargetMode="External" /><Relationship Type="http://schemas.openxmlformats.org/officeDocument/2006/relationships/hyperlink" Id="rId228" Target="https://archive.org/details/metaltransportre00lazeuoft/mode/2up" TargetMode="External" /><Relationship Type="http://schemas.openxmlformats.org/officeDocument/2006/relationships/hyperlink" Id="rId159" Target="https://doi.org/10.1002/j.1551-8833.1995.tb06299.x" TargetMode="External" /><Relationship Type="http://schemas.openxmlformats.org/officeDocument/2006/relationships/hyperlink" Id="rId218" Target="https://doi.org/10.1002/j.1551-8833.1995.tb06302.x" TargetMode="External" /><Relationship Type="http://schemas.openxmlformats.org/officeDocument/2006/relationships/hyperlink" Id="rId224" Target="https://doi.org/10.1002/j.1551-8833.2002.tb10250.x" TargetMode="External" /><Relationship Type="http://schemas.openxmlformats.org/officeDocument/2006/relationships/hyperlink" Id="rId232" Target="https://doi.org/10.1002/rra.1504" TargetMode="External" /><Relationship Type="http://schemas.openxmlformats.org/officeDocument/2006/relationships/hyperlink" Id="rId183" Target="https://doi.org/10.1007/978-94-007-1363-5" TargetMode="External" /><Relationship Type="http://schemas.openxmlformats.org/officeDocument/2006/relationships/hyperlink" Id="rId276" Target="https://doi.org/10.1007/s10533-008-9207-6" TargetMode="External" /><Relationship Type="http://schemas.openxmlformats.org/officeDocument/2006/relationships/hyperlink" Id="rId244" Target="https://doi.org/10.1007/s10533-015-0103-6" TargetMode="External" /><Relationship Type="http://schemas.openxmlformats.org/officeDocument/2006/relationships/hyperlink" Id="rId238" Target="https://doi.org/10.1007/s10533-018-0482-6" TargetMode="External" /><Relationship Type="http://schemas.openxmlformats.org/officeDocument/2006/relationships/hyperlink" Id="rId252" Target="https://doi.org/10.1007/s11270-013-1651-9" TargetMode="External" /><Relationship Type="http://schemas.openxmlformats.org/officeDocument/2006/relationships/hyperlink" Id="rId280" Target="https://doi.org/10.1007/s11356-015-4078-6" TargetMode="External" /><Relationship Type="http://schemas.openxmlformats.org/officeDocument/2006/relationships/hyperlink" Id="rId171" Target="https://doi.org/10.1007/s11749-016-0481-7" TargetMode="External" /><Relationship Type="http://schemas.openxmlformats.org/officeDocument/2006/relationships/hyperlink" Id="rId259" Target="https://doi.org/10.1007/sl0533-010-9416-7" TargetMode="External" /><Relationship Type="http://schemas.openxmlformats.org/officeDocument/2006/relationships/hyperlink" Id="rId191" Target="https://doi.org/10.1016/B978-0-12-382092-1.00019-1" TargetMode="External" /><Relationship Type="http://schemas.openxmlformats.org/officeDocument/2006/relationships/hyperlink" Id="rId254" Target="https://doi.org/10.1016/S0003-2670(96)00412-6" TargetMode="External" /><Relationship Type="http://schemas.openxmlformats.org/officeDocument/2006/relationships/hyperlink" Id="rId234" Target="https://doi.org/10.1016/j.chemosphere.2011.01.018" TargetMode="External" /><Relationship Type="http://schemas.openxmlformats.org/officeDocument/2006/relationships/hyperlink" Id="rId236" Target="https://doi.org/10.1016/j.cis.2010.06.007" TargetMode="External" /><Relationship Type="http://schemas.openxmlformats.org/officeDocument/2006/relationships/hyperlink" Id="rId271" Target="https://doi.org/10.1016/j.jenvman.2007.03.001" TargetMode="External" /><Relationship Type="http://schemas.openxmlformats.org/officeDocument/2006/relationships/hyperlink" Id="rId230" Target="https://doi.org/10.1016/j.jhazmat.2014.02.009" TargetMode="External" /><Relationship Type="http://schemas.openxmlformats.org/officeDocument/2006/relationships/hyperlink" Id="rId163" Target="https://doi.org/10.1016/j.jhydrol.2014.05.060" TargetMode="External" /><Relationship Type="http://schemas.openxmlformats.org/officeDocument/2006/relationships/hyperlink" Id="rId263" Target="https://doi.org/10.1016/j.scitotenv.2016.09.113" TargetMode="External" /><Relationship Type="http://schemas.openxmlformats.org/officeDocument/2006/relationships/hyperlink" Id="rId199" Target="https://doi.org/10.1016/j.watres.2010.08.051" TargetMode="External" /><Relationship Type="http://schemas.openxmlformats.org/officeDocument/2006/relationships/hyperlink" Id="rId193" Target="https://doi.org/10.1016/j.watres.2016.08.031" TargetMode="External" /><Relationship Type="http://schemas.openxmlformats.org/officeDocument/2006/relationships/hyperlink" Id="rId278" Target="https://doi.org/10.1021/es030360x" TargetMode="External" /><Relationship Type="http://schemas.openxmlformats.org/officeDocument/2006/relationships/hyperlink" Id="rId161" Target="https://doi.org/10.1021/es103992s" TargetMode="External" /><Relationship Type="http://schemas.openxmlformats.org/officeDocument/2006/relationships/hyperlink" Id="rId216" Target="https://doi.org/10.1029/2005JG000082" TargetMode="External" /><Relationship Type="http://schemas.openxmlformats.org/officeDocument/2006/relationships/hyperlink" Id="rId226" Target="https://doi.org/10.1029/2005WR004362" TargetMode="External" /><Relationship Type="http://schemas.openxmlformats.org/officeDocument/2006/relationships/hyperlink" Id="rId165" Target="https://doi.org/10.1029/2007JG000674" TargetMode="External" /><Relationship Type="http://schemas.openxmlformats.org/officeDocument/2006/relationships/hyperlink" Id="rId282" Target="https://doi.org/10.1029/2018GL080005" TargetMode="External" /><Relationship Type="http://schemas.openxmlformats.org/officeDocument/2006/relationships/hyperlink" Id="rId269" Target="https://doi.org/10.1037/a0016973" TargetMode="External" /><Relationship Type="http://schemas.openxmlformats.org/officeDocument/2006/relationships/hyperlink" Id="rId157" Target="https://doi.org/10.1111/ele.12897" TargetMode="External" /><Relationship Type="http://schemas.openxmlformats.org/officeDocument/2006/relationships/hyperlink" Id="rId265" Target="https://doi.org/10.1111/j.1365-2427.2011.02613.x" TargetMode="External" /><Relationship Type="http://schemas.openxmlformats.org/officeDocument/2006/relationships/hyperlink" Id="rId189" Target="https://doi.org/10.1139/cjfas-2014-0400" TargetMode="External" /><Relationship Type="http://schemas.openxmlformats.org/officeDocument/2006/relationships/hyperlink" Id="rId267" Target="https://doi.org/10.1186/1471-2105-9-307" TargetMode="External" /><Relationship Type="http://schemas.openxmlformats.org/officeDocument/2006/relationships/hyperlink" Id="rId173" Target="https://doi.org/10.1201/9780367816377-11" TargetMode="External" /><Relationship Type="http://schemas.openxmlformats.org/officeDocument/2006/relationships/hyperlink" Id="rId204" Target="https://doi.org/10.13031/2013.15662" TargetMode="External" /><Relationship Type="http://schemas.openxmlformats.org/officeDocument/2006/relationships/hyperlink" Id="rId242" Target="https://doi.org/10.14288/1.0387350" TargetMode="External" /><Relationship Type="http://schemas.openxmlformats.org/officeDocument/2006/relationships/hyperlink" Id="rId169" Target="https://doi.org/10.2105/SMWW.2882.113" TargetMode="External" /><Relationship Type="http://schemas.openxmlformats.org/officeDocument/2006/relationships/hyperlink" Id="rId181" Target="https://doi.org/10.2166/aqua.2008.064" TargetMode="External" /><Relationship Type="http://schemas.openxmlformats.org/officeDocument/2006/relationships/hyperlink" Id="rId202" Target="https://doi.org/10.3133/fs06700" TargetMode="External" /><Relationship Type="http://schemas.openxmlformats.org/officeDocument/2006/relationships/hyperlink" Id="rId248" Target="https://doi.org/10.5194/bg-10-2315-2013" TargetMode="External" /><Relationship Type="http://schemas.openxmlformats.org/officeDocument/2006/relationships/hyperlink" Id="rId187" Target="https://doi.org/IWSS-297445977-5079" TargetMode="External" /><Relationship Type="http://schemas.openxmlformats.org/officeDocument/2006/relationships/hyperlink" Id="rId220" Target="https://doi.org/doi:10.1046/j.1365-2427.1997.d01-539.x" TargetMode="External" /><Relationship Type="http://schemas.openxmlformats.org/officeDocument/2006/relationships/hyperlink" Id="rId195" Target="https://pubs.er.usgs.gov/publication/sir20075282" TargetMode="External" /><Relationship Type="http://schemas.openxmlformats.org/officeDocument/2006/relationships/hyperlink" Id="rId206" Target="https://www.canada.ca/content/dam/hc-sc/documents/programs/consultation-organic-matter-drinking-water/NOM20190129-eng.pdf" TargetMode="External" /><Relationship Type="http://schemas.openxmlformats.org/officeDocument/2006/relationships/hyperlink" Id="rId208" Target="https://www.canada.ca/content/dam/hc-sc/migration/hc-sc/ewh-semt/alt%7B\_%7Dformats/pdf/pubs/water-eau/sum%7B\_%7Dguide-res%7B\_%7Drecom/summary-table-August-15-2019-eng.pdf" TargetMode="External" /><Relationship Type="http://schemas.openxmlformats.org/officeDocument/2006/relationships/hyperlink" Id="rId210" Target="https://www.canada.ca/en/health-canada/services/healthy-living/your-health/environment/drinking-water-chlorination.html" TargetMode="External" /><Relationship Type="http://schemas.openxmlformats.org/officeDocument/2006/relationships/hyperlink" Id="rId185" Target="https://www.crd.bc.ca/project/past-capital-projects-and-initiatives/water-supply-plan" TargetMode="External" /><Relationship Type="http://schemas.openxmlformats.org/officeDocument/2006/relationships/hyperlink" Id="rId178" Target="https://www.crd.bc.ca/service/public-tours/watershed-tours/facts-figures" TargetMode="External" /><Relationship Type="http://schemas.openxmlformats.org/officeDocument/2006/relationships/hyperlink" Id="rId25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2" Target="https://www.healthlinkbc.ca/healthlinkbc-files/drinking-water-chlorination" TargetMode="External" /><Relationship Type="http://schemas.openxmlformats.org/officeDocument/2006/relationships/hyperlink" Id="rId240" Target="https://www.jstor.org/stable/1937326" TargetMode="External" /><Relationship Type="http://schemas.openxmlformats.org/officeDocument/2006/relationships/hyperlink" Id="rId261" Target="https://www.jstor.org/stable/24702986" TargetMode="External" /><Relationship Type="http://schemas.openxmlformats.org/officeDocument/2006/relationships/hyperlink" Id="rId214" Target="https://www.jstor.org/stable/40058211" TargetMode="External" /><Relationship Type="http://schemas.openxmlformats.org/officeDocument/2006/relationships/hyperlink" Id="rId222" Target="https://www.jstor.org/stable/41311011" TargetMode="External" /><Relationship Type="http://schemas.openxmlformats.org/officeDocument/2006/relationships/hyperlink" Id="rId175"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2020-08-07T05:10:57Z</dcterms:created>
  <dcterms:modified xsi:type="dcterms:W3CDTF">2020-08-07T05:10:57Z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